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2FB15">
      <w:pPr>
        <w:jc w:val="center"/>
        <w:rPr>
          <w:rFonts w:hint="eastAsia" w:ascii="宋体" w:hAnsi="宋体"/>
          <w:b/>
          <w:color w:val="auto"/>
          <w:sz w:val="72"/>
          <w:highlight w:val="none"/>
        </w:rPr>
      </w:pPr>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48B67F03">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07D895E1">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w:t>
      </w:r>
      <w:bookmarkStart w:id="36" w:name="_GoBack"/>
      <w:bookmarkEnd w:id="36"/>
      <w:r>
        <w:rPr>
          <w:rFonts w:hint="eastAsia" w:ascii="宋体" w:hAnsi="宋体"/>
          <w:b/>
          <w:color w:val="auto"/>
          <w:sz w:val="72"/>
          <w:highlight w:val="none"/>
        </w:rPr>
        <w:t xml:space="preserve">   文   件</w:t>
      </w:r>
    </w:p>
    <w:p w14:paraId="0AF41292">
      <w:pPr>
        <w:spacing w:line="360" w:lineRule="auto"/>
        <w:ind w:firstLine="1438" w:firstLineChars="398"/>
        <w:rPr>
          <w:rFonts w:hint="eastAsia" w:ascii="宋体" w:hAnsi="宋体"/>
          <w:b/>
          <w:color w:val="auto"/>
          <w:sz w:val="36"/>
          <w:highlight w:val="none"/>
        </w:rPr>
      </w:pPr>
    </w:p>
    <w:p w14:paraId="53112A50">
      <w:pPr>
        <w:spacing w:line="360" w:lineRule="auto"/>
        <w:ind w:firstLine="1438" w:firstLineChars="398"/>
        <w:rPr>
          <w:rFonts w:hint="eastAsia" w:ascii="宋体" w:hAnsi="宋体"/>
          <w:b/>
          <w:color w:val="auto"/>
          <w:sz w:val="36"/>
          <w:highlight w:val="none"/>
        </w:rPr>
      </w:pPr>
    </w:p>
    <w:p w14:paraId="37A81C04">
      <w:pPr>
        <w:spacing w:line="360" w:lineRule="auto"/>
        <w:ind w:firstLine="1438" w:firstLineChars="398"/>
        <w:rPr>
          <w:rFonts w:hint="eastAsia" w:ascii="宋体" w:hAnsi="宋体"/>
          <w:b/>
          <w:color w:val="auto"/>
          <w:sz w:val="36"/>
          <w:highlight w:val="none"/>
        </w:rPr>
      </w:pPr>
    </w:p>
    <w:p w14:paraId="48C59107">
      <w:pPr>
        <w:spacing w:line="360" w:lineRule="auto"/>
        <w:ind w:firstLine="1438" w:firstLineChars="398"/>
        <w:rPr>
          <w:rFonts w:hint="eastAsia" w:ascii="宋体" w:hAnsi="宋体"/>
          <w:b/>
          <w:color w:val="auto"/>
          <w:sz w:val="36"/>
          <w:highlight w:val="none"/>
        </w:rPr>
      </w:pPr>
    </w:p>
    <w:p w14:paraId="2DCC62CE">
      <w:pPr>
        <w:spacing w:line="360" w:lineRule="auto"/>
        <w:ind w:firstLine="1438" w:firstLineChars="398"/>
        <w:rPr>
          <w:rFonts w:hint="default" w:ascii="宋体" w:hAnsi="宋体" w:eastAsia="宋体"/>
          <w:b/>
          <w:color w:val="auto"/>
          <w:sz w:val="36"/>
          <w:highlight w:val="none"/>
          <w:u w:val="single"/>
          <w:lang w:val="en-US" w:eastAsia="zh-CN"/>
        </w:rPr>
      </w:pPr>
      <w:r>
        <w:rPr>
          <w:rFonts w:hint="eastAsia" w:ascii="宋体" w:hAnsi="宋体"/>
          <w:b/>
          <w:color w:val="auto"/>
          <w:sz w:val="36"/>
          <w:highlight w:val="none"/>
        </w:rPr>
        <w:t>招 标 编 号：</w:t>
      </w:r>
      <w:r>
        <w:rPr>
          <w:rFonts w:hint="eastAsia" w:ascii="宋体" w:hAnsi="宋体"/>
          <w:b/>
          <w:color w:val="auto"/>
          <w:sz w:val="36"/>
          <w:highlight w:val="none"/>
          <w:u w:val="single"/>
        </w:rPr>
        <w:t>XM</w:t>
      </w:r>
      <w:r>
        <w:rPr>
          <w:rFonts w:hint="eastAsia" w:ascii="宋体" w:hAnsi="宋体"/>
          <w:b/>
          <w:color w:val="auto"/>
          <w:sz w:val="36"/>
          <w:highlight w:val="none"/>
          <w:u w:val="single"/>
          <w:lang w:eastAsia="zh-CN"/>
        </w:rPr>
        <w:t>2024</w:t>
      </w:r>
      <w:r>
        <w:rPr>
          <w:rFonts w:hint="eastAsia" w:ascii="宋体" w:hAnsi="宋体"/>
          <w:b/>
          <w:color w:val="auto"/>
          <w:sz w:val="36"/>
          <w:highlight w:val="none"/>
          <w:u w:val="single"/>
        </w:rPr>
        <w:t>-DZ</w:t>
      </w:r>
      <w:r>
        <w:rPr>
          <w:rFonts w:hint="eastAsia" w:ascii="宋体" w:hAnsi="宋体"/>
          <w:b/>
          <w:color w:val="auto"/>
          <w:sz w:val="36"/>
          <w:highlight w:val="none"/>
          <w:u w:val="single"/>
          <w:lang w:val="en-US" w:eastAsia="zh-CN"/>
        </w:rPr>
        <w:t>0031C1</w:t>
      </w:r>
    </w:p>
    <w:p w14:paraId="25BB439C">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称：2024年大宗激光</w:t>
      </w:r>
      <w:r>
        <w:rPr>
          <w:rFonts w:hint="eastAsia" w:ascii="宋体" w:hAnsi="宋体"/>
          <w:b/>
          <w:color w:val="auto"/>
          <w:sz w:val="36"/>
          <w:highlight w:val="none"/>
          <w:lang w:eastAsia="zh-CN"/>
        </w:rPr>
        <w:t>打印</w:t>
      </w:r>
      <w:r>
        <w:rPr>
          <w:rFonts w:hint="eastAsia" w:ascii="宋体" w:hAnsi="宋体"/>
          <w:b/>
          <w:color w:val="auto"/>
          <w:sz w:val="36"/>
          <w:highlight w:val="none"/>
        </w:rPr>
        <w:t>机</w:t>
      </w:r>
    </w:p>
    <w:p w14:paraId="25B75CAD">
      <w:pPr>
        <w:spacing w:line="360" w:lineRule="auto"/>
        <w:ind w:firstLine="1438" w:firstLineChars="398"/>
        <w:rPr>
          <w:rFonts w:hint="eastAsia" w:ascii="宋体" w:hAnsi="宋体"/>
          <w:b/>
          <w:color w:val="auto"/>
          <w:sz w:val="36"/>
          <w:highlight w:val="none"/>
        </w:rPr>
      </w:pPr>
    </w:p>
    <w:p w14:paraId="3FCADD83">
      <w:pPr>
        <w:spacing w:line="360" w:lineRule="auto"/>
        <w:ind w:firstLine="1438" w:firstLineChars="398"/>
        <w:rPr>
          <w:rFonts w:hint="eastAsia" w:ascii="宋体" w:hAnsi="宋体"/>
          <w:b/>
          <w:color w:val="auto"/>
          <w:sz w:val="36"/>
          <w:highlight w:val="none"/>
        </w:rPr>
      </w:pPr>
    </w:p>
    <w:p w14:paraId="6FCE8A56">
      <w:pPr>
        <w:spacing w:line="360" w:lineRule="auto"/>
        <w:ind w:firstLine="1438" w:firstLineChars="398"/>
        <w:rPr>
          <w:rFonts w:hint="eastAsia" w:ascii="宋体" w:hAnsi="宋体"/>
          <w:b/>
          <w:color w:val="auto"/>
          <w:sz w:val="36"/>
          <w:highlight w:val="none"/>
        </w:rPr>
      </w:pPr>
    </w:p>
    <w:p w14:paraId="22C4B6DD">
      <w:pPr>
        <w:spacing w:line="360" w:lineRule="auto"/>
        <w:ind w:firstLine="1438" w:firstLineChars="398"/>
        <w:rPr>
          <w:rFonts w:hint="eastAsia" w:ascii="宋体" w:hAnsi="宋体"/>
          <w:b/>
          <w:color w:val="auto"/>
          <w:sz w:val="36"/>
          <w:highlight w:val="none"/>
        </w:rPr>
      </w:pPr>
    </w:p>
    <w:p w14:paraId="74C8C462">
      <w:pPr>
        <w:spacing w:line="360" w:lineRule="auto"/>
        <w:ind w:firstLine="1438" w:firstLineChars="398"/>
        <w:rPr>
          <w:rFonts w:hint="eastAsia" w:ascii="宋体" w:hAnsi="宋体"/>
          <w:b/>
          <w:color w:val="auto"/>
          <w:sz w:val="36"/>
          <w:highlight w:val="none"/>
        </w:rPr>
      </w:pPr>
    </w:p>
    <w:p w14:paraId="281B99DF">
      <w:pPr>
        <w:pStyle w:val="5"/>
        <w:spacing w:line="360" w:lineRule="auto"/>
        <w:ind w:firstLine="1438" w:firstLineChars="398"/>
        <w:jc w:val="left"/>
        <w:rPr>
          <w:rFonts w:hint="eastAsia" w:hAnsi="宋体"/>
          <w:b/>
          <w:color w:val="auto"/>
          <w:spacing w:val="20"/>
          <w:sz w:val="32"/>
          <w:highlight w:val="none"/>
        </w:rPr>
      </w:pPr>
    </w:p>
    <w:p w14:paraId="6B8357FA">
      <w:pPr>
        <w:pStyle w:val="5"/>
        <w:spacing w:line="360" w:lineRule="auto"/>
        <w:ind w:firstLine="0" w:firstLineChars="0"/>
        <w:jc w:val="left"/>
        <w:rPr>
          <w:rFonts w:hint="eastAsia" w:hAnsi="宋体"/>
          <w:b/>
          <w:bCs/>
          <w:color w:val="auto"/>
          <w:sz w:val="32"/>
          <w:highlight w:val="none"/>
          <w:u w:val="single"/>
        </w:rPr>
      </w:pPr>
      <w:r>
        <w:rPr>
          <w:rFonts w:hint="eastAsia" w:hAnsi="宋体"/>
          <w:b/>
          <w:color w:val="auto"/>
          <w:spacing w:val="20"/>
          <w:sz w:val="32"/>
          <w:highlight w:val="none"/>
        </w:rPr>
        <w:t>使用单位：厦门市政府机关事业单位和福建省内其他终端用户</w:t>
      </w:r>
    </w:p>
    <w:p w14:paraId="5A6AB798">
      <w:pPr>
        <w:pStyle w:val="5"/>
        <w:spacing w:line="360" w:lineRule="auto"/>
        <w:ind w:firstLine="0" w:firstLineChars="0"/>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20F61FDF">
      <w:pPr>
        <w:pStyle w:val="5"/>
        <w:spacing w:line="360" w:lineRule="auto"/>
        <w:ind w:firstLine="0" w:firstLineChars="0"/>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7DF6C3FF">
      <w:pPr>
        <w:spacing w:line="360" w:lineRule="auto"/>
        <w:ind w:firstLine="1438" w:firstLineChars="398"/>
        <w:rPr>
          <w:rFonts w:hint="eastAsia" w:ascii="宋体" w:hAnsi="宋体"/>
          <w:b/>
          <w:color w:val="auto"/>
          <w:sz w:val="36"/>
          <w:highlight w:val="none"/>
        </w:rPr>
      </w:pPr>
    </w:p>
    <w:p w14:paraId="43C6F88A">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2024</w:t>
      </w:r>
      <w:r>
        <w:rPr>
          <w:rFonts w:hint="eastAsia" w:hAnsi="宋体"/>
          <w:b/>
          <w:color w:val="auto"/>
          <w:sz w:val="32"/>
          <w:highlight w:val="none"/>
        </w:rPr>
        <w:t>年</w:t>
      </w:r>
    </w:p>
    <w:p w14:paraId="3AB424CD">
      <w:pPr>
        <w:pStyle w:val="5"/>
        <w:spacing w:line="360" w:lineRule="auto"/>
        <w:jc w:val="both"/>
        <w:outlineLvl w:val="0"/>
        <w:rPr>
          <w:rFonts w:hint="eastAsia" w:hAnsi="宋体"/>
          <w:b/>
          <w:color w:val="auto"/>
          <w:sz w:val="32"/>
          <w:highlight w:val="none"/>
        </w:rPr>
      </w:pPr>
    </w:p>
    <w:p w14:paraId="426EFE02">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1AC0A613">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313FE52A">
      <w:pPr>
        <w:rPr>
          <w:rFonts w:hint="eastAsia" w:ascii="宋体" w:hAnsi="宋体" w:eastAsia="宋体" w:cs="宋体"/>
          <w:color w:val="auto"/>
          <w:sz w:val="24"/>
          <w:szCs w:val="24"/>
          <w:highlight w:val="none"/>
        </w:rPr>
      </w:pPr>
    </w:p>
    <w:p w14:paraId="56EECF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9B53040">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5FC2CE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35A0E2B4">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463AF5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3D117FA8">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3DCF9F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31B1EDE0">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64C4F5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7E7279B3">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75CB8E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（五）厦门银行股份有限公司 </w:t>
      </w:r>
    </w:p>
    <w:p w14:paraId="113AB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20EFB0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63DD78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4D6BB12F">
      <w:pPr>
        <w:spacing w:line="360" w:lineRule="auto"/>
        <w:ind w:firstLine="480" w:firstLineChars="200"/>
        <w:rPr>
          <w:rFonts w:hint="eastAsia" w:ascii="宋体" w:hAnsi="宋体" w:eastAsia="宋体" w:cs="宋体"/>
          <w:color w:val="auto"/>
          <w:sz w:val="24"/>
          <w:szCs w:val="24"/>
          <w:highlight w:val="none"/>
        </w:rPr>
      </w:pPr>
    </w:p>
    <w:p w14:paraId="570FEE48">
      <w:pPr>
        <w:spacing w:line="360" w:lineRule="auto"/>
        <w:ind w:firstLine="480" w:firstLineChars="200"/>
        <w:rPr>
          <w:rFonts w:hint="eastAsia" w:ascii="宋体" w:hAnsi="宋体" w:eastAsia="宋体" w:cs="宋体"/>
          <w:color w:val="auto"/>
          <w:sz w:val="24"/>
          <w:szCs w:val="24"/>
          <w:highlight w:val="none"/>
        </w:rPr>
      </w:pPr>
    </w:p>
    <w:p w14:paraId="6BF13710">
      <w:pPr>
        <w:spacing w:line="360" w:lineRule="auto"/>
        <w:ind w:firstLine="480" w:firstLineChars="200"/>
        <w:rPr>
          <w:rFonts w:hint="eastAsia" w:ascii="宋体" w:hAnsi="宋体" w:eastAsia="宋体" w:cs="宋体"/>
          <w:color w:val="auto"/>
          <w:sz w:val="24"/>
          <w:szCs w:val="24"/>
          <w:highlight w:val="none"/>
        </w:rPr>
      </w:pPr>
    </w:p>
    <w:p w14:paraId="7F167C65">
      <w:pPr>
        <w:spacing w:line="360" w:lineRule="auto"/>
        <w:ind w:firstLine="480" w:firstLineChars="200"/>
        <w:rPr>
          <w:rFonts w:hint="eastAsia" w:ascii="宋体" w:hAnsi="宋体" w:eastAsia="宋体" w:cs="宋体"/>
          <w:color w:val="auto"/>
          <w:sz w:val="24"/>
          <w:szCs w:val="24"/>
          <w:highlight w:val="none"/>
        </w:rPr>
      </w:pPr>
    </w:p>
    <w:p w14:paraId="7716E78C">
      <w:pPr>
        <w:spacing w:line="360" w:lineRule="auto"/>
        <w:ind w:firstLine="0" w:firstLineChars="0"/>
        <w:rPr>
          <w:rFonts w:hint="eastAsia" w:ascii="宋体" w:hAnsi="宋体" w:eastAsia="宋体" w:cs="宋体"/>
          <w:color w:val="auto"/>
          <w:sz w:val="24"/>
          <w:szCs w:val="24"/>
          <w:highlight w:val="none"/>
        </w:rPr>
      </w:pPr>
    </w:p>
    <w:p w14:paraId="16B1A03F">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6AED1CBE">
      <w:pPr>
        <w:pStyle w:val="2"/>
        <w:snapToGrid w:val="0"/>
        <w:spacing w:line="360" w:lineRule="auto"/>
        <w:ind w:firstLine="0"/>
        <w:rPr>
          <w:rFonts w:hint="eastAsia" w:ascii="宋体" w:hAnsi="宋体" w:eastAsia="宋体" w:cs="宋体"/>
          <w:color w:val="auto"/>
          <w:sz w:val="24"/>
          <w:szCs w:val="24"/>
          <w:highlight w:val="none"/>
        </w:rPr>
      </w:pPr>
    </w:p>
    <w:p w14:paraId="33C48A59">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40ACE23E">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76469F58">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0D350AD7">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68BC3F83">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4F6D9223">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5BDEE975">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7C8FAC15">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49F3FE84">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710ADC77">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3DA5AAD9">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390A31C8">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774899EE">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4F5E6FD8">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14:paraId="233D2D95">
      <w:pPr>
        <w:pStyle w:val="17"/>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53BCCA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b/>
          <w:bCs/>
          <w:color w:val="auto"/>
          <w:sz w:val="24"/>
          <w:szCs w:val="24"/>
          <w:highlight w:val="none"/>
          <w:u w:val="single"/>
        </w:rPr>
        <w:t>2024年大宗激光</w:t>
      </w:r>
      <w:r>
        <w:rPr>
          <w:rFonts w:hint="eastAsia" w:ascii="宋体" w:hAnsi="宋体" w:cs="宋体"/>
          <w:b/>
          <w:bCs/>
          <w:color w:val="auto"/>
          <w:sz w:val="24"/>
          <w:szCs w:val="24"/>
          <w:highlight w:val="none"/>
          <w:u w:val="single"/>
          <w:lang w:eastAsia="zh-CN"/>
        </w:rPr>
        <w:t>打印</w:t>
      </w:r>
      <w:r>
        <w:rPr>
          <w:rFonts w:hint="eastAsia" w:ascii="宋体" w:hAnsi="宋体" w:eastAsia="宋体" w:cs="宋体"/>
          <w:b/>
          <w:bCs/>
          <w:color w:val="auto"/>
          <w:sz w:val="24"/>
          <w:szCs w:val="24"/>
          <w:highlight w:val="none"/>
          <w:u w:val="single"/>
        </w:rPr>
        <w:t>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货物（或服务）进行国内公开招标，现欢迎国内合格的投标人前来投标。</w:t>
      </w:r>
    </w:p>
    <w:p w14:paraId="24E8DFED">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031C1</w:t>
      </w:r>
      <w:r>
        <w:rPr>
          <w:rFonts w:hint="eastAsia" w:ascii="宋体" w:hAnsi="宋体" w:eastAsia="宋体" w:cs="宋体"/>
          <w:color w:val="auto"/>
          <w:sz w:val="24"/>
          <w:szCs w:val="24"/>
          <w:highlight w:val="none"/>
          <w:u w:val="single"/>
        </w:rPr>
        <w:t>。</w:t>
      </w:r>
    </w:p>
    <w:p w14:paraId="6DFD84C3">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5A88FC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
          <w:bCs w:val="0"/>
          <w:color w:val="auto"/>
          <w:sz w:val="24"/>
          <w:szCs w:val="24"/>
          <w:highlight w:val="none"/>
          <w:lang w:eastAsia="zh-CN"/>
        </w:rPr>
        <w:t>2024</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8</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22</w:t>
      </w:r>
      <w:r>
        <w:rPr>
          <w:rFonts w:hint="eastAsia" w:ascii="宋体" w:hAnsi="宋体" w:eastAsia="宋体" w:cs="宋体"/>
          <w:b/>
          <w:bCs w:val="0"/>
          <w:color w:val="auto"/>
          <w:sz w:val="24"/>
          <w:szCs w:val="24"/>
          <w:highlight w:val="none"/>
        </w:rPr>
        <w:t>日至</w:t>
      </w:r>
      <w:r>
        <w:rPr>
          <w:rFonts w:hint="eastAsia" w:ascii="宋体" w:hAnsi="宋体" w:cs="宋体"/>
          <w:b/>
          <w:bCs w:val="0"/>
          <w:color w:val="auto"/>
          <w:sz w:val="24"/>
          <w:szCs w:val="24"/>
          <w:highlight w:val="none"/>
          <w:lang w:eastAsia="zh-CN"/>
        </w:rPr>
        <w:t>2024</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9</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10</w:t>
      </w:r>
      <w:r>
        <w:rPr>
          <w:rFonts w:hint="eastAsia" w:ascii="宋体" w:hAnsi="宋体" w:eastAsia="宋体" w:cs="宋体"/>
          <w:b/>
          <w:bCs w:val="0"/>
          <w:color w:val="auto"/>
          <w:sz w:val="24"/>
          <w:szCs w:val="24"/>
          <w:highlight w:val="none"/>
        </w:rPr>
        <w:t>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14:paraId="670B91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0C4238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40BF68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2C9921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7F87918A">
      <w:pPr>
        <w:pStyle w:val="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4、招标文件售价：</w:t>
      </w:r>
      <w:r>
        <w:rPr>
          <w:rFonts w:hint="eastAsia" w:hAnsi="宋体" w:eastAsia="宋体" w:cs="宋体"/>
          <w:b/>
          <w:bCs/>
          <w:color w:val="auto"/>
          <w:sz w:val="24"/>
          <w:szCs w:val="24"/>
          <w:highlight w:val="none"/>
        </w:rPr>
        <w:t>每个合同包</w:t>
      </w:r>
      <w:r>
        <w:rPr>
          <w:rFonts w:hint="eastAsia" w:hAnsi="宋体" w:eastAsia="宋体" w:cs="宋体"/>
          <w:b/>
          <w:bCs/>
          <w:color w:val="auto"/>
          <w:sz w:val="24"/>
          <w:szCs w:val="24"/>
          <w:highlight w:val="none"/>
          <w:u w:val="single"/>
          <w:lang w:val="en-US" w:eastAsia="zh-CN"/>
        </w:rPr>
        <w:t>50</w:t>
      </w:r>
      <w:r>
        <w:rPr>
          <w:rFonts w:hint="eastAsia" w:hAnsi="宋体" w:eastAsia="宋体" w:cs="宋体"/>
          <w:b/>
          <w:bCs/>
          <w:color w:val="auto"/>
          <w:sz w:val="24"/>
          <w:szCs w:val="24"/>
          <w:highlight w:val="none"/>
        </w:rPr>
        <w:t>元人民币，售后不退。</w:t>
      </w:r>
    </w:p>
    <w:p w14:paraId="654D37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b/>
          <w:bCs/>
          <w:color w:val="auto"/>
          <w:sz w:val="24"/>
          <w:szCs w:val="24"/>
          <w:highlight w:val="none"/>
          <w:lang w:eastAsia="zh-CN"/>
        </w:rPr>
        <w:t>2024</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（北京时间）之前提交到</w:t>
      </w:r>
      <w:r>
        <w:rPr>
          <w:rFonts w:hint="eastAsia" w:ascii="宋体" w:hAnsi="宋体" w:eastAsia="宋体" w:cs="宋体"/>
          <w:b/>
          <w:color w:val="auto"/>
          <w:sz w:val="24"/>
          <w:szCs w:val="24"/>
          <w:highlight w:val="none"/>
          <w:u w:val="single"/>
        </w:rPr>
        <w:t>厦门市湖里区云顶北路842号厦门市政务服务中心4楼信息发布大厅东侧收标处2号收标窗口</w:t>
      </w:r>
      <w:r>
        <w:rPr>
          <w:rFonts w:hint="eastAsia" w:ascii="宋体" w:hAnsi="宋体" w:eastAsia="宋体" w:cs="宋体"/>
          <w:color w:val="auto"/>
          <w:sz w:val="24"/>
          <w:szCs w:val="24"/>
          <w:highlight w:val="none"/>
        </w:rPr>
        <w:t>。逾期收到的或不符合规定的投标文件将被拒绝。</w:t>
      </w:r>
    </w:p>
    <w:p w14:paraId="2505D86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6、开标时间、地点: </w:t>
      </w:r>
      <w:r>
        <w:rPr>
          <w:rFonts w:hint="eastAsia" w:ascii="宋体" w:hAnsi="宋体" w:cs="宋体"/>
          <w:b/>
          <w:bCs/>
          <w:color w:val="auto"/>
          <w:sz w:val="24"/>
          <w:szCs w:val="24"/>
          <w:highlight w:val="none"/>
          <w:lang w:eastAsia="zh-CN"/>
        </w:rPr>
        <w:t>2024</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厦门市湖里区云顶北路842号厦门市行政服务中心4楼开标室9(C405)</w:t>
      </w:r>
      <w:r>
        <w:rPr>
          <w:rFonts w:hint="eastAsia" w:ascii="宋体" w:hAnsi="宋体" w:eastAsia="宋体" w:cs="宋体"/>
          <w:color w:val="auto"/>
          <w:sz w:val="24"/>
          <w:szCs w:val="24"/>
          <w:highlight w:val="none"/>
        </w:rPr>
        <w:t>。</w:t>
      </w:r>
    </w:p>
    <w:p w14:paraId="4DA0FD9C">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eastAsia="宋体" w:cs="宋体"/>
          <w:b/>
          <w:bCs/>
          <w:color w:val="auto"/>
          <w:sz w:val="24"/>
          <w:szCs w:val="24"/>
          <w:highlight w:val="none"/>
        </w:rPr>
        <w:t>接受</w:t>
      </w:r>
      <w:r>
        <w:rPr>
          <w:rFonts w:hint="eastAsia" w:ascii="宋体" w:hAnsi="宋体" w:eastAsia="宋体" w:cs="宋体"/>
          <w:color w:val="auto"/>
          <w:sz w:val="24"/>
          <w:szCs w:val="24"/>
          <w:highlight w:val="none"/>
        </w:rPr>
        <w:t>）联合体投标。</w:t>
      </w:r>
    </w:p>
    <w:p w14:paraId="351120A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将通过中国政府采购网、厦门招投标网（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039F14AB">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14:paraId="4F288B7E">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668729BE">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13534231">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605F63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34" w:hRule="atLeast"/>
          <w:jc w:val="center"/>
        </w:trPr>
        <w:tc>
          <w:tcPr>
            <w:tcW w:w="914" w:type="dxa"/>
            <w:noWrap w:val="0"/>
            <w:vAlign w:val="center"/>
          </w:tcPr>
          <w:p w14:paraId="6FD1FFF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14:paraId="412C942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2B1FCE4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14:paraId="6F2DF6E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14:paraId="4D4549F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12DDF7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06FE69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14:paraId="7AD2D2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14:paraId="3B49BFFC">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卢</w:t>
            </w:r>
            <w:r>
              <w:rPr>
                <w:rFonts w:hint="eastAsia" w:ascii="宋体" w:hAnsi="宋体" w:eastAsia="宋体" w:cs="宋体"/>
                <w:color w:val="auto"/>
                <w:kern w:val="0"/>
                <w:sz w:val="24"/>
                <w:szCs w:val="24"/>
                <w:highlight w:val="none"/>
              </w:rPr>
              <w:t>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c>
          <w:tcPr>
            <w:tcW w:w="3348" w:type="dxa"/>
            <w:noWrap w:val="0"/>
            <w:vAlign w:val="center"/>
          </w:tcPr>
          <w:p w14:paraId="614B2DAC">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14:paraId="7CF173CC">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5701518、5769394</w:t>
            </w:r>
          </w:p>
          <w:p w14:paraId="4E2B4F5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14:paraId="77273A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33F6EE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14:paraId="6A6E38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259F45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14:paraId="5A1E278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14:paraId="6B93BD64">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0A488A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3AA8BC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14:paraId="6C2A24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07C552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14:paraId="27C4507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14:paraId="3CAFD33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703596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76F8FB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14:paraId="5B21E8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7D56F4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14:paraId="0E6828C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14:paraId="14B95EBF">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33C7E7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7CEC2C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14:paraId="5DEF52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06B28E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14:paraId="1F2F3FFB">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14:paraId="142CD1F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121752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66E7DB3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13007D9F">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326DA972">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2C5DF8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335EEFF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4AEB3E8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602" w:type="dxa"/>
            <w:noWrap w:val="0"/>
            <w:vAlign w:val="center"/>
          </w:tcPr>
          <w:p w14:paraId="7068923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6A04D6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166F54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6AB6C9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4EE820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69265C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030FCD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6669A1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198B2E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7D7211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09CC90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14:paraId="4A5108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2177EDDD">
      <w:pPr>
        <w:tabs>
          <w:tab w:val="left" w:pos="1140"/>
        </w:tabs>
        <w:spacing w:line="360" w:lineRule="auto"/>
        <w:ind w:firstLine="560"/>
        <w:rPr>
          <w:rFonts w:hint="eastAsia" w:ascii="宋体" w:hAnsi="宋体" w:eastAsia="宋体" w:cs="宋体"/>
          <w:color w:val="auto"/>
          <w:sz w:val="24"/>
          <w:szCs w:val="24"/>
          <w:highlight w:val="none"/>
        </w:rPr>
      </w:pPr>
    </w:p>
    <w:p w14:paraId="431E0D0D">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024C168E">
      <w:pPr>
        <w:spacing w:line="360" w:lineRule="auto"/>
        <w:ind w:firstLine="360"/>
        <w:rPr>
          <w:rFonts w:hint="eastAsia" w:ascii="宋体" w:hAnsi="宋体" w:eastAsia="宋体" w:cs="宋体"/>
          <w:b/>
          <w:color w:val="auto"/>
          <w:sz w:val="24"/>
          <w:szCs w:val="24"/>
          <w:highlight w:val="none"/>
        </w:rPr>
      </w:pPr>
    </w:p>
    <w:p w14:paraId="016D9212">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005DE2C9">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32D1AD3D">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编：361006</w:t>
      </w:r>
    </w:p>
    <w:p w14:paraId="1B39133F">
      <w:pPr>
        <w:spacing w:line="360" w:lineRule="auto"/>
        <w:ind w:firstLine="482" w:firstLineChars="200"/>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rPr>
        <w:t>合同款项事宜联系人：</w:t>
      </w:r>
      <w:r>
        <w:rPr>
          <w:rFonts w:hint="eastAsia" w:ascii="宋体" w:hAnsi="宋体" w:cs="宋体"/>
          <w:b/>
          <w:bCs/>
          <w:color w:val="auto"/>
          <w:kern w:val="0"/>
          <w:sz w:val="24"/>
          <w:szCs w:val="24"/>
          <w:highlight w:val="none"/>
          <w:lang w:eastAsia="zh-CN"/>
        </w:rPr>
        <w:t>郑小姐</w:t>
      </w:r>
      <w:r>
        <w:rPr>
          <w:rFonts w:hint="eastAsia" w:ascii="宋体" w:hAnsi="宋体" w:cs="宋体"/>
          <w:b/>
          <w:bCs/>
          <w:color w:val="auto"/>
          <w:kern w:val="0"/>
          <w:sz w:val="24"/>
          <w:szCs w:val="24"/>
          <w:highlight w:val="none"/>
          <w:lang w:val="en-US" w:eastAsia="zh-CN"/>
        </w:rPr>
        <w:t>0592-5700272</w:t>
      </w:r>
    </w:p>
    <w:p w14:paraId="7D1590A6">
      <w:pPr>
        <w:pStyle w:val="10"/>
        <w:rPr>
          <w:rFonts w:hint="eastAsia"/>
          <w:color w:val="auto"/>
          <w:highlight w:val="none"/>
        </w:rPr>
      </w:pPr>
    </w:p>
    <w:p w14:paraId="662C0EA3">
      <w:pPr>
        <w:tabs>
          <w:tab w:val="left" w:pos="2775"/>
        </w:tabs>
        <w:spacing w:line="360" w:lineRule="auto"/>
        <w:ind w:firstLine="465"/>
        <w:rPr>
          <w:rFonts w:hint="eastAsia" w:ascii="宋体" w:hAnsi="宋体" w:eastAsia="宋体" w:cs="宋体"/>
          <w:color w:val="auto"/>
          <w:sz w:val="24"/>
          <w:szCs w:val="24"/>
          <w:highlight w:val="none"/>
        </w:rPr>
      </w:pPr>
    </w:p>
    <w:p w14:paraId="2F83A1A2">
      <w:pPr>
        <w:tabs>
          <w:tab w:val="left" w:pos="2775"/>
        </w:tabs>
        <w:spacing w:line="360" w:lineRule="auto"/>
        <w:ind w:firstLine="465"/>
        <w:rPr>
          <w:rFonts w:hint="eastAsia" w:ascii="宋体" w:hAnsi="宋体" w:eastAsia="宋体" w:cs="宋体"/>
          <w:color w:val="auto"/>
          <w:sz w:val="24"/>
          <w:szCs w:val="24"/>
          <w:highlight w:val="none"/>
        </w:rPr>
      </w:pPr>
    </w:p>
    <w:p w14:paraId="7083CB06">
      <w:pPr>
        <w:tabs>
          <w:tab w:val="left" w:pos="2775"/>
        </w:tabs>
        <w:spacing w:line="360" w:lineRule="auto"/>
        <w:ind w:firstLine="465"/>
        <w:rPr>
          <w:rFonts w:hint="eastAsia" w:ascii="宋体" w:hAnsi="宋体" w:eastAsia="宋体" w:cs="宋体"/>
          <w:color w:val="auto"/>
          <w:sz w:val="24"/>
          <w:szCs w:val="24"/>
          <w:highlight w:val="none"/>
        </w:rPr>
      </w:pPr>
    </w:p>
    <w:p w14:paraId="0613BFE2">
      <w:pPr>
        <w:tabs>
          <w:tab w:val="left" w:pos="2775"/>
        </w:tabs>
        <w:spacing w:line="360" w:lineRule="auto"/>
        <w:ind w:firstLine="465"/>
        <w:rPr>
          <w:rFonts w:hint="eastAsia" w:ascii="宋体" w:hAnsi="宋体" w:eastAsia="宋体" w:cs="宋体"/>
          <w:color w:val="auto"/>
          <w:sz w:val="24"/>
          <w:szCs w:val="24"/>
          <w:highlight w:val="none"/>
        </w:rPr>
      </w:pPr>
    </w:p>
    <w:p w14:paraId="5714FD48">
      <w:pPr>
        <w:tabs>
          <w:tab w:val="left" w:pos="2775"/>
        </w:tabs>
        <w:spacing w:line="360" w:lineRule="auto"/>
        <w:ind w:firstLine="465"/>
        <w:rPr>
          <w:rFonts w:hint="eastAsia" w:ascii="宋体" w:hAnsi="宋体" w:eastAsia="宋体" w:cs="宋体"/>
          <w:color w:val="auto"/>
          <w:sz w:val="24"/>
          <w:szCs w:val="24"/>
          <w:highlight w:val="none"/>
        </w:rPr>
      </w:pPr>
    </w:p>
    <w:p w14:paraId="6547B057">
      <w:pPr>
        <w:tabs>
          <w:tab w:val="left" w:pos="2775"/>
        </w:tabs>
        <w:spacing w:line="360" w:lineRule="auto"/>
        <w:ind w:firstLine="465"/>
        <w:rPr>
          <w:rFonts w:hint="eastAsia" w:ascii="宋体" w:hAnsi="宋体" w:eastAsia="宋体" w:cs="宋体"/>
          <w:color w:val="auto"/>
          <w:sz w:val="24"/>
          <w:szCs w:val="24"/>
          <w:highlight w:val="none"/>
        </w:rPr>
      </w:pPr>
    </w:p>
    <w:p w14:paraId="470965C2">
      <w:pPr>
        <w:tabs>
          <w:tab w:val="left" w:pos="2775"/>
        </w:tabs>
        <w:spacing w:line="360" w:lineRule="auto"/>
        <w:ind w:firstLine="465"/>
        <w:rPr>
          <w:rFonts w:hint="eastAsia" w:ascii="宋体" w:hAnsi="宋体" w:eastAsia="宋体" w:cs="宋体"/>
          <w:color w:val="auto"/>
          <w:sz w:val="24"/>
          <w:szCs w:val="24"/>
          <w:highlight w:val="none"/>
        </w:rPr>
      </w:pPr>
    </w:p>
    <w:p w14:paraId="6773774C">
      <w:pPr>
        <w:tabs>
          <w:tab w:val="left" w:pos="2775"/>
        </w:tabs>
        <w:spacing w:line="360" w:lineRule="auto"/>
        <w:ind w:firstLine="465"/>
        <w:rPr>
          <w:rFonts w:hint="eastAsia" w:ascii="宋体" w:hAnsi="宋体" w:eastAsia="宋体" w:cs="宋体"/>
          <w:color w:val="auto"/>
          <w:sz w:val="24"/>
          <w:szCs w:val="24"/>
          <w:highlight w:val="none"/>
        </w:rPr>
      </w:pPr>
    </w:p>
    <w:p w14:paraId="4A1437D2">
      <w:pPr>
        <w:tabs>
          <w:tab w:val="left" w:pos="2775"/>
        </w:tabs>
        <w:spacing w:line="360" w:lineRule="auto"/>
        <w:ind w:firstLine="465"/>
        <w:rPr>
          <w:rFonts w:hint="eastAsia" w:ascii="宋体" w:hAnsi="宋体" w:eastAsia="宋体" w:cs="宋体"/>
          <w:color w:val="auto"/>
          <w:sz w:val="24"/>
          <w:szCs w:val="24"/>
          <w:highlight w:val="none"/>
        </w:rPr>
      </w:pPr>
    </w:p>
    <w:p w14:paraId="3740D938">
      <w:pPr>
        <w:tabs>
          <w:tab w:val="left" w:pos="2775"/>
        </w:tabs>
        <w:spacing w:line="360" w:lineRule="auto"/>
        <w:ind w:firstLine="465"/>
        <w:rPr>
          <w:rFonts w:hint="eastAsia" w:ascii="宋体" w:hAnsi="宋体" w:eastAsia="宋体" w:cs="宋体"/>
          <w:color w:val="auto"/>
          <w:sz w:val="24"/>
          <w:szCs w:val="24"/>
          <w:highlight w:val="none"/>
        </w:rPr>
      </w:pPr>
    </w:p>
    <w:p w14:paraId="3BEEC073">
      <w:pPr>
        <w:tabs>
          <w:tab w:val="left" w:pos="2775"/>
        </w:tabs>
        <w:spacing w:line="360" w:lineRule="auto"/>
        <w:ind w:firstLine="465"/>
        <w:rPr>
          <w:rFonts w:hint="eastAsia" w:ascii="宋体" w:hAnsi="宋体" w:eastAsia="宋体" w:cs="宋体"/>
          <w:color w:val="auto"/>
          <w:sz w:val="24"/>
          <w:szCs w:val="24"/>
          <w:highlight w:val="none"/>
        </w:rPr>
      </w:pPr>
    </w:p>
    <w:p w14:paraId="3B448D99">
      <w:pPr>
        <w:spacing w:line="360" w:lineRule="auto"/>
        <w:rPr>
          <w:rFonts w:hint="eastAsia" w:ascii="宋体" w:hAnsi="宋体" w:eastAsia="宋体" w:cs="宋体"/>
          <w:color w:val="auto"/>
          <w:sz w:val="32"/>
          <w:szCs w:val="32"/>
          <w:highlight w:val="none"/>
        </w:rPr>
      </w:pPr>
    </w:p>
    <w:p w14:paraId="7306BC97">
      <w:pPr>
        <w:spacing w:line="360" w:lineRule="auto"/>
        <w:rPr>
          <w:rFonts w:hint="eastAsia" w:ascii="宋体" w:hAnsi="宋体" w:eastAsia="宋体" w:cs="宋体"/>
          <w:color w:val="auto"/>
          <w:sz w:val="32"/>
          <w:szCs w:val="32"/>
          <w:highlight w:val="none"/>
        </w:rPr>
      </w:pPr>
    </w:p>
    <w:p w14:paraId="0180F8AB">
      <w:pPr>
        <w:spacing w:line="360" w:lineRule="auto"/>
        <w:rPr>
          <w:rFonts w:hint="eastAsia" w:ascii="宋体" w:hAnsi="宋体" w:eastAsia="宋体" w:cs="宋体"/>
          <w:color w:val="auto"/>
          <w:sz w:val="32"/>
          <w:szCs w:val="32"/>
          <w:highlight w:val="none"/>
        </w:rPr>
      </w:pPr>
    </w:p>
    <w:p w14:paraId="15DDBE83">
      <w:pPr>
        <w:spacing w:line="360" w:lineRule="auto"/>
        <w:rPr>
          <w:rFonts w:hint="eastAsia" w:ascii="宋体" w:hAnsi="宋体" w:eastAsia="宋体" w:cs="宋体"/>
          <w:color w:val="auto"/>
          <w:sz w:val="32"/>
          <w:szCs w:val="32"/>
          <w:highlight w:val="none"/>
        </w:rPr>
      </w:pPr>
    </w:p>
    <w:p w14:paraId="0E40843E">
      <w:pPr>
        <w:spacing w:line="360" w:lineRule="auto"/>
        <w:rPr>
          <w:rFonts w:hint="eastAsia" w:ascii="宋体" w:hAnsi="宋体" w:eastAsia="宋体" w:cs="宋体"/>
          <w:color w:val="auto"/>
          <w:sz w:val="32"/>
          <w:szCs w:val="32"/>
          <w:highlight w:val="none"/>
        </w:rPr>
      </w:pPr>
    </w:p>
    <w:p w14:paraId="6C9A93F1">
      <w:pPr>
        <w:spacing w:line="360" w:lineRule="auto"/>
        <w:rPr>
          <w:rFonts w:hint="eastAsia" w:ascii="宋体" w:hAnsi="宋体" w:eastAsia="宋体" w:cs="宋体"/>
          <w:color w:val="auto"/>
          <w:sz w:val="32"/>
          <w:szCs w:val="32"/>
          <w:highlight w:val="none"/>
        </w:rPr>
      </w:pPr>
    </w:p>
    <w:p w14:paraId="32B02698">
      <w:pPr>
        <w:spacing w:line="360" w:lineRule="auto"/>
        <w:rPr>
          <w:rFonts w:hint="eastAsia" w:ascii="宋体" w:hAnsi="宋体" w:eastAsia="宋体" w:cs="宋体"/>
          <w:color w:val="auto"/>
          <w:sz w:val="32"/>
          <w:szCs w:val="32"/>
          <w:highlight w:val="none"/>
        </w:rPr>
      </w:pPr>
    </w:p>
    <w:p w14:paraId="5C3FEBE8">
      <w:pPr>
        <w:spacing w:line="360" w:lineRule="auto"/>
        <w:rPr>
          <w:rFonts w:hint="eastAsia" w:ascii="宋体" w:hAnsi="宋体" w:eastAsia="宋体" w:cs="宋体"/>
          <w:color w:val="auto"/>
          <w:sz w:val="32"/>
          <w:szCs w:val="32"/>
          <w:highlight w:val="none"/>
        </w:rPr>
      </w:pPr>
    </w:p>
    <w:p w14:paraId="7CEB73C4">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32C99571">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2"/>
        <w:tblW w:w="10345"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1075"/>
        <w:gridCol w:w="1445"/>
        <w:gridCol w:w="1080"/>
        <w:gridCol w:w="1440"/>
        <w:gridCol w:w="1419"/>
      </w:tblGrid>
      <w:tr w14:paraId="30330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3814907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3583CC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7C6E3579">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359C7D3E">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445" w:type="dxa"/>
            <w:tcBorders>
              <w:top w:val="single" w:color="auto" w:sz="4" w:space="0"/>
              <w:left w:val="single" w:color="auto" w:sz="4" w:space="0"/>
              <w:bottom w:val="single" w:color="auto" w:sz="4" w:space="0"/>
              <w:right w:val="single" w:color="auto" w:sz="4" w:space="0"/>
            </w:tcBorders>
            <w:noWrap w:val="0"/>
            <w:vAlign w:val="center"/>
          </w:tcPr>
          <w:p w14:paraId="7BDFBA0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96E2BE1">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E9894AA">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*交付使用期</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35AE6F11">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6C65C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restart"/>
            <w:tcBorders>
              <w:top w:val="single" w:color="auto" w:sz="4" w:space="0"/>
              <w:left w:val="single" w:color="auto" w:sz="4" w:space="0"/>
              <w:right w:val="single" w:color="auto" w:sz="4" w:space="0"/>
            </w:tcBorders>
            <w:noWrap w:val="0"/>
            <w:vAlign w:val="center"/>
          </w:tcPr>
          <w:p w14:paraId="3F59F70C">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0031C1</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E7315A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2161B81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A4幅面黑白单打印激光打印机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48A1D7D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950台</w:t>
            </w:r>
          </w:p>
        </w:tc>
        <w:tc>
          <w:tcPr>
            <w:tcW w:w="1445" w:type="dxa"/>
            <w:vMerge w:val="restart"/>
            <w:tcBorders>
              <w:top w:val="single" w:color="auto" w:sz="4" w:space="0"/>
              <w:left w:val="single" w:color="auto" w:sz="4" w:space="0"/>
              <w:right w:val="single" w:color="auto" w:sz="4" w:space="0"/>
            </w:tcBorders>
            <w:noWrap w:val="0"/>
            <w:vAlign w:val="center"/>
          </w:tcPr>
          <w:p w14:paraId="0344B1A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vMerge w:val="restart"/>
            <w:tcBorders>
              <w:top w:val="single" w:color="auto" w:sz="4" w:space="0"/>
              <w:left w:val="single" w:color="auto" w:sz="4" w:space="0"/>
              <w:right w:val="single" w:color="auto" w:sz="4" w:space="0"/>
            </w:tcBorders>
            <w:noWrap w:val="0"/>
            <w:vAlign w:val="center"/>
          </w:tcPr>
          <w:p w14:paraId="010E753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1440" w:type="dxa"/>
            <w:vMerge w:val="restart"/>
            <w:tcBorders>
              <w:top w:val="single" w:color="auto" w:sz="4" w:space="0"/>
              <w:left w:val="single" w:color="auto" w:sz="4" w:space="0"/>
              <w:right w:val="single" w:color="auto" w:sz="4" w:space="0"/>
            </w:tcBorders>
            <w:noWrap w:val="0"/>
            <w:vAlign w:val="center"/>
          </w:tcPr>
          <w:p w14:paraId="05780D8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419" w:type="dxa"/>
            <w:vMerge w:val="restart"/>
            <w:tcBorders>
              <w:top w:val="single" w:color="auto" w:sz="4" w:space="0"/>
              <w:left w:val="single" w:color="auto" w:sz="4" w:space="0"/>
              <w:right w:val="single" w:color="auto" w:sz="4" w:space="0"/>
            </w:tcBorders>
            <w:noWrap w:val="0"/>
            <w:vAlign w:val="center"/>
          </w:tcPr>
          <w:p w14:paraId="5968AD03">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厦门市政府机关事业单位和福建省内其他终端用户</w:t>
            </w:r>
          </w:p>
        </w:tc>
      </w:tr>
      <w:tr w14:paraId="07AA7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36EC8BA3">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7035C70B">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09BB33E">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A4幅面黑白双面网络单打印激光打印机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0D5E8A6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650 台</w:t>
            </w:r>
          </w:p>
        </w:tc>
        <w:tc>
          <w:tcPr>
            <w:tcW w:w="1445" w:type="dxa"/>
            <w:vMerge w:val="continue"/>
            <w:tcBorders>
              <w:left w:val="single" w:color="auto" w:sz="4" w:space="0"/>
              <w:right w:val="single" w:color="auto" w:sz="4" w:space="0"/>
            </w:tcBorders>
            <w:noWrap w:val="0"/>
            <w:vAlign w:val="center"/>
          </w:tcPr>
          <w:p w14:paraId="675ECBA5">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536EB3C3">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1A9A6D2A">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08AEA5E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76AC5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1ED84F3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05A22F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1-3</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4290FEA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A4幅面黑白双面网络单打印激光打印机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09CBAE9E">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1,600台</w:t>
            </w:r>
          </w:p>
        </w:tc>
        <w:tc>
          <w:tcPr>
            <w:tcW w:w="1445" w:type="dxa"/>
            <w:vMerge w:val="continue"/>
            <w:tcBorders>
              <w:left w:val="single" w:color="auto" w:sz="4" w:space="0"/>
              <w:right w:val="single" w:color="auto" w:sz="4" w:space="0"/>
            </w:tcBorders>
            <w:noWrap w:val="0"/>
            <w:vAlign w:val="center"/>
          </w:tcPr>
          <w:p w14:paraId="70B9C5F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302B8A8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6D0C7501">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1910AF1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79447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50BEEE3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764FEE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1-4</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110FD52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A4幅面彩色双面网络单打印激光打印机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0DEA13D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250台</w:t>
            </w:r>
          </w:p>
        </w:tc>
        <w:tc>
          <w:tcPr>
            <w:tcW w:w="1445" w:type="dxa"/>
            <w:vMerge w:val="continue"/>
            <w:tcBorders>
              <w:left w:val="single" w:color="auto" w:sz="4" w:space="0"/>
              <w:right w:val="single" w:color="auto" w:sz="4" w:space="0"/>
            </w:tcBorders>
            <w:noWrap w:val="0"/>
            <w:vAlign w:val="center"/>
          </w:tcPr>
          <w:p w14:paraId="46C8008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047826B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215621F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6A115B6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56E43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2B28D27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2D1FB0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1-5</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18E9732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A4幅面彩色双面网络单打印激光打印机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5095A41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250台 </w:t>
            </w:r>
          </w:p>
        </w:tc>
        <w:tc>
          <w:tcPr>
            <w:tcW w:w="1445" w:type="dxa"/>
            <w:vMerge w:val="continue"/>
            <w:tcBorders>
              <w:left w:val="single" w:color="auto" w:sz="4" w:space="0"/>
              <w:right w:val="single" w:color="auto" w:sz="4" w:space="0"/>
            </w:tcBorders>
            <w:noWrap w:val="0"/>
            <w:vAlign w:val="center"/>
          </w:tcPr>
          <w:p w14:paraId="20F70A0D">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55BA340F">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390AEFA5">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5D46C07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0C7B3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78E0BB9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1E96FF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1-6</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1A3E8EB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A3幅面黑白双面网络单打印激光打印机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35708E4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120台 </w:t>
            </w:r>
          </w:p>
        </w:tc>
        <w:tc>
          <w:tcPr>
            <w:tcW w:w="1445" w:type="dxa"/>
            <w:vMerge w:val="continue"/>
            <w:tcBorders>
              <w:left w:val="single" w:color="auto" w:sz="4" w:space="0"/>
              <w:right w:val="single" w:color="auto" w:sz="4" w:space="0"/>
            </w:tcBorders>
            <w:noWrap w:val="0"/>
            <w:vAlign w:val="center"/>
          </w:tcPr>
          <w:p w14:paraId="2F4BA2A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47C71E0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05C744F1">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6DE41EA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5FB87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bottom w:val="single" w:color="auto" w:sz="4" w:space="0"/>
              <w:right w:val="single" w:color="auto" w:sz="4" w:space="0"/>
            </w:tcBorders>
            <w:noWrap w:val="0"/>
            <w:vAlign w:val="center"/>
          </w:tcPr>
          <w:p w14:paraId="0269963A">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151B68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1-7</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3FBD06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A3幅面彩色双面网络单打印激光打印机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2005E2A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100台 </w:t>
            </w:r>
          </w:p>
        </w:tc>
        <w:tc>
          <w:tcPr>
            <w:tcW w:w="1445" w:type="dxa"/>
            <w:vMerge w:val="continue"/>
            <w:tcBorders>
              <w:left w:val="single" w:color="auto" w:sz="4" w:space="0"/>
              <w:bottom w:val="single" w:color="auto" w:sz="4" w:space="0"/>
              <w:right w:val="single" w:color="auto" w:sz="4" w:space="0"/>
            </w:tcBorders>
            <w:noWrap w:val="0"/>
            <w:vAlign w:val="center"/>
          </w:tcPr>
          <w:p w14:paraId="7E014A5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14:paraId="3460FD6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bottom w:val="single" w:color="auto" w:sz="4" w:space="0"/>
              <w:right w:val="single" w:color="auto" w:sz="4" w:space="0"/>
            </w:tcBorders>
            <w:noWrap w:val="0"/>
            <w:vAlign w:val="center"/>
          </w:tcPr>
          <w:p w14:paraId="14A55ED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bottom w:val="single" w:color="auto" w:sz="4" w:space="0"/>
              <w:right w:val="single" w:color="auto" w:sz="4" w:space="0"/>
            </w:tcBorders>
            <w:noWrap w:val="0"/>
            <w:vAlign w:val="center"/>
          </w:tcPr>
          <w:p w14:paraId="321ABB7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bl>
    <w:p w14:paraId="345F9FFA">
      <w:pPr>
        <w:pStyle w:val="5"/>
        <w:tabs>
          <w:tab w:val="left" w:pos="8360"/>
        </w:tabs>
        <w:spacing w:line="360" w:lineRule="auto"/>
        <w:jc w:val="left"/>
        <w:rPr>
          <w:rFonts w:hint="eastAsia" w:hAnsi="宋体" w:eastAsia="宋体" w:cs="宋体"/>
          <w:color w:val="auto"/>
          <w:sz w:val="24"/>
          <w:szCs w:val="24"/>
          <w:highlight w:val="none"/>
        </w:rPr>
      </w:pPr>
    </w:p>
    <w:p w14:paraId="1A0F2213">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416A5499">
      <w:pPr>
        <w:pStyle w:val="5"/>
        <w:tabs>
          <w:tab w:val="left" w:pos="8360"/>
        </w:tabs>
        <w:spacing w:line="360" w:lineRule="auto"/>
        <w:jc w:val="left"/>
        <w:rPr>
          <w:rFonts w:hint="eastAsia" w:hAnsi="宋体" w:eastAsia="宋体" w:cs="宋体"/>
          <w:color w:val="auto"/>
          <w:sz w:val="24"/>
          <w:szCs w:val="24"/>
          <w:highlight w:val="none"/>
        </w:rPr>
      </w:pPr>
    </w:p>
    <w:p w14:paraId="779C7F01">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1AA26258">
      <w:pPr>
        <w:pStyle w:val="17"/>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5B26866A">
      <w:pPr>
        <w:pStyle w:val="17"/>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67CE2B6E">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07754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6AB5157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211A7BE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14:paraId="1BA5E5E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17EF6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3696E6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38D4D6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14:paraId="309EFCC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项目名称：2024年大宗激光</w:t>
            </w:r>
            <w:r>
              <w:rPr>
                <w:rFonts w:hint="eastAsia" w:ascii="宋体" w:hAnsi="宋体" w:cs="宋体"/>
                <w:color w:val="auto"/>
                <w:sz w:val="24"/>
                <w:szCs w:val="24"/>
                <w:highlight w:val="none"/>
                <w:lang w:eastAsia="zh-CN"/>
              </w:rPr>
              <w:t>打印</w:t>
            </w:r>
            <w:r>
              <w:rPr>
                <w:rFonts w:hint="eastAsia" w:ascii="宋体" w:hAnsi="宋体" w:eastAsia="宋体" w:cs="宋体"/>
                <w:color w:val="auto"/>
                <w:sz w:val="24"/>
                <w:szCs w:val="24"/>
                <w:highlight w:val="none"/>
              </w:rPr>
              <w:t>机</w:t>
            </w:r>
          </w:p>
          <w:p w14:paraId="2B45D079">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0686F47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14:paraId="1D9DB98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项目内容：2024年大宗激光</w:t>
            </w:r>
            <w:r>
              <w:rPr>
                <w:rFonts w:hint="eastAsia" w:ascii="宋体" w:hAnsi="宋体" w:cs="宋体"/>
                <w:color w:val="auto"/>
                <w:sz w:val="24"/>
                <w:szCs w:val="24"/>
                <w:highlight w:val="none"/>
                <w:lang w:eastAsia="zh-CN"/>
              </w:rPr>
              <w:t>打印</w:t>
            </w:r>
            <w:r>
              <w:rPr>
                <w:rFonts w:hint="eastAsia" w:ascii="宋体" w:hAnsi="宋体" w:eastAsia="宋体" w:cs="宋体"/>
                <w:color w:val="auto"/>
                <w:sz w:val="24"/>
                <w:szCs w:val="24"/>
                <w:highlight w:val="none"/>
              </w:rPr>
              <w:t>机</w:t>
            </w:r>
          </w:p>
          <w:p w14:paraId="5E178BBC">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031C1</w:t>
            </w:r>
          </w:p>
        </w:tc>
      </w:tr>
      <w:tr w14:paraId="74BF5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21526E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046FA8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14:paraId="1CE6166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3D6951F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49240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4012E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3A8A9C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14:paraId="5E265F4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default" w:ascii="宋体" w:hAnsi="宋体" w:cs="宋体"/>
                <w:color w:val="auto"/>
                <w:sz w:val="24"/>
                <w:szCs w:val="24"/>
                <w:highlight w:val="none"/>
                <w:u w:val="single"/>
              </w:rPr>
              <w:t>18</w:t>
            </w:r>
            <w:r>
              <w:rPr>
                <w:rFonts w:hint="eastAsia" w:ascii="宋体" w:hAnsi="宋体" w:eastAsia="宋体" w:cs="宋体"/>
                <w:color w:val="auto"/>
                <w:sz w:val="24"/>
                <w:szCs w:val="24"/>
                <w:highlight w:val="none"/>
                <w:u w:val="single"/>
              </w:rPr>
              <w:t>0</w:t>
            </w:r>
            <w:r>
              <w:rPr>
                <w:rFonts w:hint="eastAsia" w:ascii="宋体" w:hAnsi="宋体" w:eastAsia="宋体" w:cs="宋体"/>
                <w:color w:val="auto"/>
                <w:sz w:val="24"/>
                <w:szCs w:val="24"/>
                <w:highlight w:val="none"/>
              </w:rPr>
              <w:t>个日历日。</w:t>
            </w:r>
          </w:p>
          <w:p w14:paraId="392B2D2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00DAF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54C68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086F62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noWrap w:val="0"/>
            <w:vAlign w:val="center"/>
          </w:tcPr>
          <w:p w14:paraId="109AE8CE">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lang w:eastAsia="zh-CN"/>
              </w:rPr>
            </w:pPr>
            <w:r>
              <w:rPr>
                <w:rFonts w:hint="eastAsia" w:ascii="宋体" w:hAnsi="宋体" w:eastAsia="宋体" w:cs="宋体"/>
                <w:color w:val="auto"/>
                <w:kern w:val="0"/>
                <w:sz w:val="24"/>
                <w:szCs w:val="24"/>
                <w:highlight w:val="none"/>
              </w:rPr>
              <w:t>投标文件递交地址：</w:t>
            </w:r>
            <w:r>
              <w:rPr>
                <w:rFonts w:hint="eastAsia" w:ascii="宋体" w:hAnsi="宋体" w:eastAsia="宋体" w:cs="宋体"/>
                <w:b/>
                <w:color w:val="auto"/>
                <w:sz w:val="24"/>
                <w:szCs w:val="24"/>
                <w:highlight w:val="none"/>
                <w:u w:val="single"/>
              </w:rPr>
              <w:t>厦门市湖里区云顶北路842号厦门市政务服务中心4楼信息发布大厅东侧收标处2号收标窗口</w:t>
            </w:r>
          </w:p>
          <w:p w14:paraId="07A472F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卢</w:t>
            </w:r>
            <w:r>
              <w:rPr>
                <w:rFonts w:hint="eastAsia" w:ascii="宋体" w:hAnsi="宋体" w:eastAsia="宋体" w:cs="宋体"/>
                <w:color w:val="auto"/>
                <w:kern w:val="0"/>
                <w:sz w:val="24"/>
                <w:szCs w:val="24"/>
                <w:highlight w:val="none"/>
              </w:rPr>
              <w:t>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r>
      <w:tr w14:paraId="5EB39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2D7B4C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7B1F0DB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14:paraId="2942ABA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1A633F1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096BB67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0243289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③投标人为中小企业的，其投标保证金减半交纳。减半交纳投标保证金的投标人应按照招标文件格式要求在投标文件中提供《中小企业声明函》。</w:t>
            </w:r>
          </w:p>
          <w:p w14:paraId="47B59283">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3AED4EC4">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7A5D101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1DE87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542C7BB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010A0C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380" w:type="dxa"/>
            <w:noWrap w:val="0"/>
            <w:vAlign w:val="center"/>
          </w:tcPr>
          <w:p w14:paraId="5B7C4C8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p>
        </w:tc>
      </w:tr>
      <w:tr w14:paraId="15185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3478D1AA">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14:paraId="4B0EB43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14:paraId="19C8DB6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7D65DF65">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2E799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375C21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14:paraId="46542F53">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14:paraId="7F78398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519184D7">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34F33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57F9C5D">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7F33784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7773A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91229F0">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1F788BF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65651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B45AAB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453935CE">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38C02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676002E">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62D73FC5">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5DF5F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35502A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31D334A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2E5F5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03A4BC4">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7A53989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2D039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F7CCF21">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7E3A4726">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70862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D0A6B9C">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081D360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4186201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每批次《定货单》金额的收费标准收取，中标供应商最迟在采购单位发出《定货单》之日起10个工作日内向招标代理机构缴交中标服务费。中标服务费的收取按差额定率累进法计算,由中标供应商支付，中标服务费按每个《定货单》金额分别收取，《定货单》金额不予累加。</w:t>
            </w:r>
          </w:p>
          <w:p w14:paraId="032B7D9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14:paraId="31AA168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3、中标供应商为中小企业的，其</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服务收费标准下浮10%进行支付。</w:t>
            </w:r>
          </w:p>
        </w:tc>
      </w:tr>
      <w:tr w14:paraId="4A43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508933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20CE9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1CC5835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监督管理部门：厦门市财政局。</w:t>
            </w:r>
          </w:p>
        </w:tc>
      </w:tr>
      <w:tr w14:paraId="632B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7F83FB7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93D9F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346D3F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01551A13">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0172A386">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4A64AFC1">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1E520684">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03855693">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5379" w:type="pct"/>
        <w:tblInd w:w="-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587"/>
        <w:gridCol w:w="942"/>
        <w:gridCol w:w="6848"/>
      </w:tblGrid>
      <w:tr w14:paraId="53476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val="0"/>
            <w:vAlign w:val="top"/>
          </w:tcPr>
          <w:p w14:paraId="5C45219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716BF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bottom w:val="single" w:color="auto" w:sz="4" w:space="0"/>
            </w:tcBorders>
            <w:noWrap w:val="0"/>
            <w:vAlign w:val="center"/>
          </w:tcPr>
          <w:p w14:paraId="3713C09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项号</w:t>
            </w:r>
          </w:p>
        </w:tc>
        <w:tc>
          <w:tcPr>
            <w:tcW w:w="317" w:type="pct"/>
            <w:tcBorders>
              <w:bottom w:val="single" w:color="auto" w:sz="4" w:space="0"/>
            </w:tcBorders>
            <w:noWrap w:val="0"/>
            <w:vAlign w:val="center"/>
          </w:tcPr>
          <w:p w14:paraId="27E0C3E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507" w:type="pct"/>
            <w:tcBorders>
              <w:bottom w:val="single" w:color="auto" w:sz="4" w:space="0"/>
            </w:tcBorders>
            <w:noWrap w:val="0"/>
            <w:vAlign w:val="center"/>
          </w:tcPr>
          <w:p w14:paraId="164D06D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3690" w:type="pct"/>
            <w:tcBorders>
              <w:bottom w:val="single" w:color="auto" w:sz="4" w:space="0"/>
            </w:tcBorders>
            <w:noWrap w:val="0"/>
            <w:vAlign w:val="center"/>
          </w:tcPr>
          <w:p w14:paraId="4DA4B1EF">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69F03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3BEC79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2B4CDE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018988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4C80FEC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2119170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72335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336E7B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20EAB4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114284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55D206C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61F1611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35EE6E8C">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5BFDB57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5EE4AEF3">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kern w:val="0"/>
                <w:sz w:val="24"/>
                <w:szCs w:val="24"/>
                <w:highlight w:val="none"/>
              </w:rPr>
              <w:t>经审计的上一年度的年度财务报告（</w:t>
            </w:r>
            <w:r>
              <w:rPr>
                <w:rFonts w:hint="eastAsia" w:ascii="宋体" w:hAnsi="宋体" w:eastAsia="宋体" w:cs="宋体"/>
                <w:color w:val="auto"/>
                <w:sz w:val="24"/>
                <w:szCs w:val="24"/>
                <w:highlight w:val="none"/>
              </w:rPr>
              <w:t>投标人上一年度的财务报告尚未完成编制且投标截止时间在每年1月1日至4月30日的，可提供上上年度经审计的年度财务报告。</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5A7EB0C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财务状况报告指“四表一注”，即资产负债表、利润表、现金流量表、所有者权益变动表及其附注，或基本开户银行出具的资信证明。</w:t>
            </w:r>
          </w:p>
          <w:p w14:paraId="19AFAEA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14:paraId="73FA2709">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（3）具备履行合同所必需的设备和专业技术能力的证明材料。</w:t>
            </w:r>
          </w:p>
          <w:p w14:paraId="74AC3B9C">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（4）参加政府采购活动前3年内在经营活动中没有重大违法记录的书面声明；投标人自行对其有无行贿犯罪情形进行书面说明或书面承诺。</w:t>
            </w:r>
          </w:p>
          <w:p w14:paraId="4637DE58">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（5）具备法律、行政法规规定的其他条件的证明材料。</w:t>
            </w:r>
          </w:p>
          <w:p w14:paraId="2CBA6C8D">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tc>
      </w:tr>
      <w:tr w14:paraId="2735C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0890AE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2916F5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0E3D61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3429098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636A688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1DA1E41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24E4797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3313ED05">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30B1B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2D3A14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3D28C4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5819E4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5D1774A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7EC6B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05AB08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196D0A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42C0B9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0495D4F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015C9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1BAD35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3DEF1B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tcBorders>
              <w:top w:val="single" w:color="auto" w:sz="4" w:space="0"/>
              <w:left w:val="single" w:color="auto" w:sz="4" w:space="0"/>
              <w:bottom w:val="single" w:color="auto" w:sz="4" w:space="0"/>
              <w:right w:val="single" w:color="auto" w:sz="4" w:space="0"/>
            </w:tcBorders>
            <w:noWrap w:val="0"/>
            <w:vAlign w:val="center"/>
          </w:tcPr>
          <w:p w14:paraId="5703A9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tcBorders>
              <w:top w:val="single" w:color="auto" w:sz="4" w:space="0"/>
              <w:left w:val="single" w:color="auto" w:sz="4" w:space="0"/>
              <w:bottom w:val="single" w:color="auto" w:sz="4" w:space="0"/>
              <w:right w:val="single" w:color="auto" w:sz="4" w:space="0"/>
            </w:tcBorders>
            <w:noWrap w:val="0"/>
            <w:vAlign w:val="center"/>
          </w:tcPr>
          <w:p w14:paraId="06BBE49F">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6F30D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56F6E9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4198BD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tcBorders>
              <w:top w:val="single" w:color="auto" w:sz="4" w:space="0"/>
              <w:left w:val="single" w:color="auto" w:sz="4" w:space="0"/>
              <w:bottom w:val="single" w:color="auto" w:sz="4" w:space="0"/>
              <w:right w:val="single" w:color="auto" w:sz="4" w:space="0"/>
            </w:tcBorders>
            <w:noWrap w:val="0"/>
            <w:vAlign w:val="center"/>
          </w:tcPr>
          <w:p w14:paraId="472CAF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tcBorders>
              <w:top w:val="single" w:color="auto" w:sz="4" w:space="0"/>
              <w:left w:val="single" w:color="auto" w:sz="4" w:space="0"/>
              <w:bottom w:val="single" w:color="auto" w:sz="4" w:space="0"/>
              <w:right w:val="single" w:color="auto" w:sz="4" w:space="0"/>
            </w:tcBorders>
            <w:noWrap w:val="0"/>
            <w:vAlign w:val="center"/>
          </w:tcPr>
          <w:p w14:paraId="25296E7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*1、投标人应提供工商营业执照（副本）（加盖公章）的复印件，提供税务登记证及组织机构代码证复印件。投标人已提供加载有统一社会信用代码营业执照的，视为已提供税务登记证和组织机构代码证。</w:t>
            </w:r>
          </w:p>
        </w:tc>
      </w:tr>
      <w:tr w14:paraId="7E3AA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1611CD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17" w:type="pct"/>
            <w:tcBorders>
              <w:top w:val="single" w:color="auto" w:sz="4" w:space="0"/>
              <w:left w:val="single" w:color="auto" w:sz="4" w:space="0"/>
              <w:bottom w:val="single" w:color="auto" w:sz="4" w:space="0"/>
              <w:right w:val="single" w:color="auto" w:sz="4" w:space="0"/>
            </w:tcBorders>
            <w:noWrap w:val="0"/>
            <w:vAlign w:val="top"/>
          </w:tcPr>
          <w:p w14:paraId="4476E0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tcBorders>
              <w:top w:val="single" w:color="auto" w:sz="4" w:space="0"/>
              <w:left w:val="single" w:color="auto" w:sz="4" w:space="0"/>
              <w:bottom w:val="single" w:color="auto" w:sz="4" w:space="0"/>
              <w:right w:val="single" w:color="auto" w:sz="4" w:space="0"/>
            </w:tcBorders>
            <w:noWrap w:val="0"/>
            <w:vAlign w:val="top"/>
          </w:tcPr>
          <w:p w14:paraId="5B9AC2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tcBorders>
              <w:top w:val="single" w:color="auto" w:sz="4" w:space="0"/>
              <w:left w:val="single" w:color="auto" w:sz="4" w:space="0"/>
              <w:bottom w:val="single" w:color="auto" w:sz="4" w:space="0"/>
              <w:right w:val="single" w:color="auto" w:sz="4" w:space="0"/>
            </w:tcBorders>
            <w:noWrap w:val="0"/>
            <w:vAlign w:val="top"/>
          </w:tcPr>
          <w:p w14:paraId="555189E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
              </w:rPr>
              <w:t>*2、</w:t>
            </w:r>
            <w:r>
              <w:rPr>
                <w:rFonts w:hint="eastAsia" w:ascii="宋体" w:hAnsi="宋体" w:eastAsia="宋体" w:cs="宋体"/>
                <w:b/>
                <w:bCs w:val="0"/>
                <w:color w:val="auto"/>
                <w:kern w:val="2"/>
                <w:sz w:val="24"/>
                <w:szCs w:val="24"/>
                <w:highlight w:val="none"/>
                <w:lang w:val="en-US" w:eastAsia="zh-CN" w:bidi="ar"/>
              </w:rPr>
              <w:t>投标</w:t>
            </w:r>
            <w:r>
              <w:rPr>
                <w:rFonts w:hint="eastAsia" w:ascii="宋体" w:hAnsi="宋体" w:eastAsia="宋体" w:cs="宋体"/>
                <w:b/>
                <w:bCs/>
                <w:color w:val="auto"/>
                <w:kern w:val="2"/>
                <w:sz w:val="24"/>
                <w:szCs w:val="24"/>
                <w:highlight w:val="none"/>
                <w:lang w:val="en-US" w:eastAsia="zh-CN" w:bidi="ar"/>
              </w:rPr>
              <w:t>人全权代表若不是单位负责人，应提供单位授权书原件，并提供被授权代表身份证复印件。</w:t>
            </w:r>
          </w:p>
        </w:tc>
      </w:tr>
      <w:tr w14:paraId="4191B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single" w:color="auto" w:sz="4" w:space="0"/>
              <w:left w:val="single" w:color="auto" w:sz="4" w:space="0"/>
              <w:bottom w:val="single" w:color="auto" w:sz="4" w:space="0"/>
              <w:right w:val="single" w:color="auto" w:sz="4" w:space="0"/>
            </w:tcBorders>
            <w:noWrap w:val="0"/>
            <w:vAlign w:val="top"/>
          </w:tcPr>
          <w:p w14:paraId="3275FF71">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64374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22D157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1023F2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28F5DA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2E2911D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44EFB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7C6C5B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040DF8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70F8B8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690" w:type="pct"/>
            <w:tcBorders>
              <w:top w:val="single" w:color="auto" w:sz="4" w:space="0"/>
              <w:left w:val="single" w:color="auto" w:sz="4" w:space="0"/>
              <w:bottom w:val="single" w:color="auto" w:sz="4" w:space="0"/>
              <w:right w:val="single" w:color="auto" w:sz="4" w:space="0"/>
            </w:tcBorders>
            <w:noWrap w:val="0"/>
            <w:vAlign w:val="top"/>
          </w:tcPr>
          <w:p w14:paraId="76B3A19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3C002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10E779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41FE79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4C0E5A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603FF52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6B757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7DC037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4046F5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3FC34E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676D120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0E4F7A2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2D4A8A4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09321D7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58D03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5A3BF0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045051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1BDD8D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55BAF69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58672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17F2F4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5F0433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60C9AE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05F0268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11CF764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26A44CD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1906B4E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3F68703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3ED85FE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04DF106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0B26845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437CB59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14AA4E7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6EB10F9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019353B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26D4B6C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4E80031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53EF2BC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3438E3B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0738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584C54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30F9C8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01D17B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3690" w:type="pct"/>
            <w:tcBorders>
              <w:top w:val="single" w:color="auto" w:sz="4" w:space="0"/>
              <w:left w:val="single" w:color="auto" w:sz="4" w:space="0"/>
              <w:bottom w:val="single" w:color="auto" w:sz="4" w:space="0"/>
              <w:right w:val="single" w:color="auto" w:sz="4" w:space="0"/>
            </w:tcBorders>
            <w:noWrap w:val="0"/>
            <w:vAlign w:val="top"/>
          </w:tcPr>
          <w:p w14:paraId="42E6E17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24A22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4F5758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55EE6B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144921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3690" w:type="pct"/>
            <w:tcBorders>
              <w:top w:val="single" w:color="auto" w:sz="4" w:space="0"/>
              <w:left w:val="single" w:color="auto" w:sz="4" w:space="0"/>
              <w:bottom w:val="single" w:color="auto" w:sz="4" w:space="0"/>
              <w:right w:val="single" w:color="auto" w:sz="4" w:space="0"/>
            </w:tcBorders>
            <w:noWrap w:val="0"/>
            <w:vAlign w:val="top"/>
          </w:tcPr>
          <w:p w14:paraId="027D715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6E59B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25C71E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64CF53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66A9E0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7860621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63A2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465F5C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16F565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06D43C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5692DB2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59C66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7484F6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108BD2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0A7422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1B2A0E1E">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72764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270E81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0D63D8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16B748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34A416E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2911F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0F517F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15BB9F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24911D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1580C2E2">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54A80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756D6F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5A6415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191BF8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3690" w:type="pct"/>
            <w:tcBorders>
              <w:top w:val="single" w:color="auto" w:sz="4" w:space="0"/>
              <w:left w:val="single" w:color="auto" w:sz="4" w:space="0"/>
              <w:bottom w:val="single" w:color="auto" w:sz="4" w:space="0"/>
              <w:right w:val="single" w:color="auto" w:sz="4" w:space="0"/>
            </w:tcBorders>
            <w:noWrap w:val="0"/>
            <w:vAlign w:val="center"/>
          </w:tcPr>
          <w:p w14:paraId="7F10C1CB">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54572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434C0E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4A66F7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7BEE37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3690" w:type="pct"/>
            <w:tcBorders>
              <w:top w:val="single" w:color="auto" w:sz="4" w:space="0"/>
              <w:left w:val="single" w:color="auto" w:sz="4" w:space="0"/>
              <w:bottom w:val="single" w:color="auto" w:sz="4" w:space="0"/>
              <w:right w:val="single" w:color="auto" w:sz="4" w:space="0"/>
            </w:tcBorders>
            <w:noWrap w:val="0"/>
            <w:vAlign w:val="top"/>
          </w:tcPr>
          <w:p w14:paraId="643BE34F">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73850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0C1B08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0D1622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33C82B8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3690" w:type="pct"/>
            <w:tcBorders>
              <w:top w:val="single" w:color="auto" w:sz="4" w:space="0"/>
              <w:left w:val="single" w:color="auto" w:sz="4" w:space="0"/>
              <w:bottom w:val="single" w:color="auto" w:sz="4" w:space="0"/>
              <w:right w:val="single" w:color="auto" w:sz="4" w:space="0"/>
            </w:tcBorders>
            <w:noWrap w:val="0"/>
            <w:vAlign w:val="top"/>
          </w:tcPr>
          <w:p w14:paraId="4076FDC3">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05BB3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223942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08CF39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4E68B9F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3690" w:type="pct"/>
            <w:tcBorders>
              <w:top w:val="single" w:color="auto" w:sz="4" w:space="0"/>
              <w:left w:val="single" w:color="auto" w:sz="4" w:space="0"/>
              <w:bottom w:val="single" w:color="auto" w:sz="4" w:space="0"/>
              <w:right w:val="single" w:color="auto" w:sz="4" w:space="0"/>
            </w:tcBorders>
            <w:noWrap w:val="0"/>
            <w:vAlign w:val="top"/>
          </w:tcPr>
          <w:p w14:paraId="2165C94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10720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623E51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4DA1BB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644EF11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3690" w:type="pct"/>
            <w:tcBorders>
              <w:top w:val="single" w:color="auto" w:sz="4" w:space="0"/>
              <w:left w:val="single" w:color="auto" w:sz="4" w:space="0"/>
              <w:bottom w:val="single" w:color="auto" w:sz="4" w:space="0"/>
              <w:right w:val="single" w:color="auto" w:sz="4" w:space="0"/>
            </w:tcBorders>
            <w:noWrap w:val="0"/>
            <w:vAlign w:val="top"/>
          </w:tcPr>
          <w:p w14:paraId="555D4BF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7826DC0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26FC9A8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4057A90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4175BBD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1E943CB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76F9A93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61794A0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5747579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15A69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top w:val="single" w:color="auto" w:sz="4" w:space="0"/>
              <w:left w:val="single" w:color="auto" w:sz="4" w:space="0"/>
              <w:bottom w:val="single" w:color="auto" w:sz="4" w:space="0"/>
              <w:right w:val="single" w:color="auto" w:sz="4" w:space="0"/>
            </w:tcBorders>
            <w:noWrap w:val="0"/>
            <w:vAlign w:val="center"/>
          </w:tcPr>
          <w:p w14:paraId="1FD2C8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317" w:type="pct"/>
            <w:tcBorders>
              <w:top w:val="single" w:color="auto" w:sz="4" w:space="0"/>
              <w:left w:val="single" w:color="auto" w:sz="4" w:space="0"/>
              <w:bottom w:val="single" w:color="auto" w:sz="4" w:space="0"/>
              <w:right w:val="single" w:color="auto" w:sz="4" w:space="0"/>
            </w:tcBorders>
            <w:noWrap w:val="0"/>
            <w:vAlign w:val="center"/>
          </w:tcPr>
          <w:p w14:paraId="4AE7BF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1CB944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3690" w:type="pct"/>
            <w:tcBorders>
              <w:top w:val="single" w:color="auto" w:sz="4" w:space="0"/>
              <w:left w:val="single" w:color="auto" w:sz="4" w:space="0"/>
              <w:bottom w:val="single" w:color="auto" w:sz="4" w:space="0"/>
              <w:right w:val="single" w:color="auto" w:sz="4" w:space="0"/>
            </w:tcBorders>
            <w:noWrap w:val="0"/>
            <w:vAlign w:val="top"/>
          </w:tcPr>
          <w:p w14:paraId="73730E88">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47B76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83" w:type="pct"/>
            <w:tcBorders>
              <w:top w:val="single" w:color="auto" w:sz="4" w:space="0"/>
            </w:tcBorders>
            <w:noWrap w:val="0"/>
            <w:vAlign w:val="center"/>
          </w:tcPr>
          <w:p w14:paraId="736554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317" w:type="pct"/>
            <w:tcBorders>
              <w:top w:val="single" w:color="auto" w:sz="4" w:space="0"/>
            </w:tcBorders>
            <w:noWrap w:val="0"/>
            <w:vAlign w:val="center"/>
          </w:tcPr>
          <w:p w14:paraId="61B957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tcBorders>
              <w:top w:val="single" w:color="auto" w:sz="4" w:space="0"/>
            </w:tcBorders>
            <w:noWrap w:val="0"/>
            <w:vAlign w:val="center"/>
          </w:tcPr>
          <w:p w14:paraId="37DB33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3690" w:type="pct"/>
            <w:tcBorders>
              <w:top w:val="single" w:color="auto" w:sz="4" w:space="0"/>
            </w:tcBorders>
            <w:noWrap w:val="0"/>
            <w:vAlign w:val="center"/>
          </w:tcPr>
          <w:p w14:paraId="35CCCA03">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09D1BA8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3DF04A2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451E50B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4AF1FF4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3914AF5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1AC7AC6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tc>
      </w:tr>
      <w:tr w14:paraId="584CD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3AD90C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317" w:type="pct"/>
            <w:noWrap w:val="0"/>
            <w:vAlign w:val="center"/>
          </w:tcPr>
          <w:p w14:paraId="3F91F0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noWrap w:val="0"/>
            <w:vAlign w:val="center"/>
          </w:tcPr>
          <w:p w14:paraId="159305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3690" w:type="pct"/>
            <w:noWrap w:val="0"/>
            <w:vAlign w:val="center"/>
          </w:tcPr>
          <w:p w14:paraId="7B6BED2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14D2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267EF9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317" w:type="pct"/>
            <w:noWrap w:val="0"/>
            <w:vAlign w:val="center"/>
          </w:tcPr>
          <w:p w14:paraId="70EB87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07" w:type="pct"/>
            <w:noWrap w:val="0"/>
            <w:vAlign w:val="center"/>
          </w:tcPr>
          <w:p w14:paraId="2DE4B9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3690" w:type="pct"/>
            <w:noWrap w:val="0"/>
            <w:vAlign w:val="center"/>
          </w:tcPr>
          <w:p w14:paraId="552B34E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31B6E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70B265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317" w:type="pct"/>
            <w:noWrap w:val="0"/>
            <w:vAlign w:val="center"/>
          </w:tcPr>
          <w:p w14:paraId="15F876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507" w:type="pct"/>
            <w:noWrap w:val="0"/>
            <w:vAlign w:val="center"/>
          </w:tcPr>
          <w:p w14:paraId="28AED84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3690" w:type="pct"/>
            <w:noWrap w:val="0"/>
            <w:vAlign w:val="center"/>
          </w:tcPr>
          <w:p w14:paraId="65F9969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中标供应商为中小企业的，如需支付履约保证金的，支付比例为中标金额的5%。</w:t>
            </w:r>
            <w:r>
              <w:rPr>
                <w:rFonts w:hint="eastAsia" w:ascii="宋体" w:hAnsi="宋体" w:cs="宋体"/>
                <w:bCs/>
                <w:color w:val="auto"/>
                <w:sz w:val="24"/>
                <w:szCs w:val="24"/>
                <w:highlight w:val="none"/>
              </w:rPr>
              <w:t>否则作无效投标处理。</w:t>
            </w:r>
          </w:p>
        </w:tc>
      </w:tr>
      <w:tr w14:paraId="3E015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3239EC18">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317" w:type="pct"/>
            <w:noWrap w:val="0"/>
            <w:vAlign w:val="center"/>
          </w:tcPr>
          <w:p w14:paraId="5BDE16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5C7F84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5A4D13B7">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7D2CAB9F">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2982DDF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24B71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17B40706">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317" w:type="pct"/>
            <w:noWrap w:val="0"/>
            <w:vAlign w:val="center"/>
          </w:tcPr>
          <w:p w14:paraId="48D6BD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095027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7DA44DA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3854D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7AFE8C6C">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317" w:type="pct"/>
            <w:noWrap w:val="0"/>
            <w:vAlign w:val="center"/>
          </w:tcPr>
          <w:p w14:paraId="41AA58B3">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507" w:type="pct"/>
            <w:noWrap w:val="0"/>
            <w:vAlign w:val="center"/>
          </w:tcPr>
          <w:p w14:paraId="041A150C">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690" w:type="pct"/>
            <w:noWrap w:val="0"/>
            <w:vAlign w:val="center"/>
          </w:tcPr>
          <w:p w14:paraId="308A1D3E">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61BBC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2126120C">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317" w:type="pct"/>
            <w:noWrap w:val="0"/>
            <w:vAlign w:val="center"/>
          </w:tcPr>
          <w:p w14:paraId="633EC847">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07" w:type="pct"/>
            <w:noWrap w:val="0"/>
            <w:vAlign w:val="center"/>
          </w:tcPr>
          <w:p w14:paraId="3308E3C9">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690" w:type="pct"/>
            <w:noWrap w:val="0"/>
            <w:vAlign w:val="center"/>
          </w:tcPr>
          <w:p w14:paraId="241732FE">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313AEAE3">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43E20566">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7D89FF61">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19A1419A">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4CBA8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432A0F16">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317" w:type="pct"/>
            <w:noWrap w:val="0"/>
            <w:vAlign w:val="center"/>
          </w:tcPr>
          <w:p w14:paraId="08BC47AC">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07" w:type="pct"/>
            <w:noWrap w:val="0"/>
            <w:vAlign w:val="center"/>
          </w:tcPr>
          <w:p w14:paraId="610C39B1">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690" w:type="pct"/>
            <w:noWrap w:val="0"/>
            <w:vAlign w:val="center"/>
          </w:tcPr>
          <w:p w14:paraId="5497AAC1">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减半交纳投标保证金的投标人未按照招标文件格式要求在投标文件中提供《中小企业声明函》的，其投标作无效投标处理。</w:t>
            </w:r>
          </w:p>
        </w:tc>
      </w:tr>
      <w:tr w14:paraId="4BFF8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bottom w:val="single" w:color="auto" w:sz="4" w:space="0"/>
            </w:tcBorders>
            <w:noWrap w:val="0"/>
            <w:vAlign w:val="center"/>
          </w:tcPr>
          <w:p w14:paraId="4A6C62B5">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317" w:type="pct"/>
            <w:tcBorders>
              <w:bottom w:val="single" w:color="auto" w:sz="4" w:space="0"/>
            </w:tcBorders>
            <w:noWrap w:val="0"/>
            <w:vAlign w:val="center"/>
          </w:tcPr>
          <w:p w14:paraId="6E8E0A63">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07" w:type="pct"/>
            <w:tcBorders>
              <w:bottom w:val="single" w:color="auto" w:sz="4" w:space="0"/>
            </w:tcBorders>
            <w:noWrap w:val="0"/>
            <w:vAlign w:val="center"/>
          </w:tcPr>
          <w:p w14:paraId="27D6F0C6">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690" w:type="pct"/>
            <w:tcBorders>
              <w:bottom w:val="single" w:color="auto" w:sz="4" w:space="0"/>
            </w:tcBorders>
            <w:noWrap w:val="0"/>
            <w:vAlign w:val="center"/>
          </w:tcPr>
          <w:p w14:paraId="59A3C3EC">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2BD65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bottom w:val="single" w:color="auto" w:sz="4" w:space="0"/>
            </w:tcBorders>
            <w:noWrap w:val="0"/>
            <w:vAlign w:val="center"/>
          </w:tcPr>
          <w:p w14:paraId="4DADB76F">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317" w:type="pct"/>
            <w:tcBorders>
              <w:bottom w:val="single" w:color="auto" w:sz="4" w:space="0"/>
            </w:tcBorders>
            <w:noWrap w:val="0"/>
            <w:vAlign w:val="center"/>
          </w:tcPr>
          <w:p w14:paraId="48243F6E">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07" w:type="pct"/>
            <w:tcBorders>
              <w:bottom w:val="single" w:color="auto" w:sz="4" w:space="0"/>
            </w:tcBorders>
            <w:noWrap w:val="0"/>
            <w:vAlign w:val="center"/>
          </w:tcPr>
          <w:p w14:paraId="26769882">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690" w:type="pct"/>
            <w:tcBorders>
              <w:bottom w:val="single" w:color="auto" w:sz="4" w:space="0"/>
            </w:tcBorders>
            <w:noWrap w:val="0"/>
            <w:vAlign w:val="center"/>
          </w:tcPr>
          <w:p w14:paraId="53E5EC4A">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02C95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bottom w:val="single" w:color="auto" w:sz="4" w:space="0"/>
            </w:tcBorders>
            <w:noWrap w:val="0"/>
            <w:vAlign w:val="center"/>
          </w:tcPr>
          <w:p w14:paraId="0DC0B32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317" w:type="pct"/>
            <w:tcBorders>
              <w:bottom w:val="single" w:color="auto" w:sz="4" w:space="0"/>
            </w:tcBorders>
            <w:noWrap w:val="0"/>
            <w:vAlign w:val="center"/>
          </w:tcPr>
          <w:p w14:paraId="3E3261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tcBorders>
              <w:bottom w:val="single" w:color="auto" w:sz="4" w:space="0"/>
            </w:tcBorders>
            <w:noWrap w:val="0"/>
            <w:vAlign w:val="center"/>
          </w:tcPr>
          <w:p w14:paraId="706F73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tcBorders>
              <w:bottom w:val="single" w:color="auto" w:sz="4" w:space="0"/>
            </w:tcBorders>
            <w:noWrap w:val="0"/>
            <w:vAlign w:val="center"/>
          </w:tcPr>
          <w:p w14:paraId="5D1D071E">
            <w:pPr>
              <w:pStyle w:val="17"/>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14:paraId="36F62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bottom w:val="single" w:color="auto" w:sz="4" w:space="0"/>
            </w:tcBorders>
            <w:noWrap w:val="0"/>
            <w:vAlign w:val="center"/>
          </w:tcPr>
          <w:p w14:paraId="097E028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31</w:t>
            </w:r>
          </w:p>
        </w:tc>
        <w:tc>
          <w:tcPr>
            <w:tcW w:w="317" w:type="pct"/>
            <w:tcBorders>
              <w:bottom w:val="single" w:color="auto" w:sz="4" w:space="0"/>
            </w:tcBorders>
            <w:noWrap w:val="0"/>
            <w:vAlign w:val="center"/>
          </w:tcPr>
          <w:p w14:paraId="3B0E98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tcBorders>
              <w:bottom w:val="single" w:color="auto" w:sz="4" w:space="0"/>
            </w:tcBorders>
            <w:noWrap w:val="0"/>
            <w:vAlign w:val="center"/>
          </w:tcPr>
          <w:p w14:paraId="5C50DB1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一</w:t>
            </w:r>
          </w:p>
        </w:tc>
        <w:tc>
          <w:tcPr>
            <w:tcW w:w="3690" w:type="pct"/>
            <w:tcBorders>
              <w:bottom w:val="single" w:color="auto" w:sz="4" w:space="0"/>
            </w:tcBorders>
            <w:noWrap w:val="0"/>
            <w:vAlign w:val="center"/>
          </w:tcPr>
          <w:p w14:paraId="631F338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1-1 </w:t>
            </w:r>
            <w:r>
              <w:rPr>
                <w:rFonts w:hint="eastAsia" w:ascii="宋体" w:hAnsi="宋体" w:eastAsia="宋体" w:cs="宋体"/>
                <w:i w:val="0"/>
                <w:iCs w:val="0"/>
                <w:color w:val="auto"/>
                <w:kern w:val="0"/>
                <w:sz w:val="21"/>
                <w:szCs w:val="21"/>
                <w:highlight w:val="none"/>
                <w:lang w:val="en-US" w:eastAsia="zh-CN" w:bidi="ar"/>
              </w:rPr>
              <w:t>A4幅面黑白单打印激光打印机</w:t>
            </w:r>
            <w:r>
              <w:rPr>
                <w:rFonts w:hint="default" w:ascii="宋体" w:hAnsi="宋体" w:eastAsia="宋体" w:cs="宋体"/>
                <w:i w:val="0"/>
                <w:iCs w:val="0"/>
                <w:color w:val="auto"/>
                <w:kern w:val="0"/>
                <w:sz w:val="21"/>
                <w:szCs w:val="21"/>
                <w:highlight w:val="none"/>
                <w:lang w:eastAsia="zh-CN" w:bidi="ar"/>
              </w:rPr>
              <w:t>：</w:t>
            </w:r>
            <w:r>
              <w:rPr>
                <w:rStyle w:val="18"/>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
                <w:bCs/>
                <w:color w:val="auto"/>
                <w:kern w:val="2"/>
                <w:sz w:val="21"/>
                <w:szCs w:val="21"/>
                <w:highlight w:val="none"/>
                <w:lang w:val="en-US" w:eastAsia="zh-CN" w:bidi="ar"/>
              </w:rPr>
              <w:t>打印速度(黑白,标准,A4)≥18ppm,典型能源消耗（kW·h）≤1.7，</w:t>
            </w:r>
            <w:r>
              <w:rPr>
                <w:rStyle w:val="18"/>
                <w:rFonts w:hint="eastAsia" w:ascii="宋体" w:hAnsi="宋体" w:eastAsia="宋体" w:cs="宋体"/>
                <w:b/>
                <w:bCs/>
                <w:color w:val="auto"/>
                <w:kern w:val="2"/>
                <w:sz w:val="21"/>
                <w:szCs w:val="21"/>
                <w:highlight w:val="none"/>
                <w:lang w:val="en-US" w:eastAsia="zh-CN" w:bidi="ar"/>
              </w:rPr>
              <w:t>适配符合安全可靠测评要求的计算机平台及符合安全可靠测评要求的操作系统</w:t>
            </w:r>
          </w:p>
        </w:tc>
      </w:tr>
      <w:tr w14:paraId="5CF8F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bottom w:val="single" w:color="auto" w:sz="4" w:space="0"/>
            </w:tcBorders>
            <w:noWrap w:val="0"/>
            <w:vAlign w:val="center"/>
          </w:tcPr>
          <w:p w14:paraId="5BB45E0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32</w:t>
            </w:r>
          </w:p>
        </w:tc>
        <w:tc>
          <w:tcPr>
            <w:tcW w:w="317" w:type="pct"/>
            <w:tcBorders>
              <w:bottom w:val="single" w:color="auto" w:sz="4" w:space="0"/>
            </w:tcBorders>
            <w:noWrap w:val="0"/>
            <w:vAlign w:val="center"/>
          </w:tcPr>
          <w:p w14:paraId="31E52B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tcBorders>
              <w:bottom w:val="single" w:color="auto" w:sz="4" w:space="0"/>
            </w:tcBorders>
            <w:noWrap w:val="0"/>
            <w:vAlign w:val="center"/>
          </w:tcPr>
          <w:p w14:paraId="06AD70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tcBorders>
              <w:bottom w:val="single" w:color="auto" w:sz="4" w:space="0"/>
            </w:tcBorders>
            <w:noWrap w:val="0"/>
            <w:vAlign w:val="center"/>
          </w:tcPr>
          <w:p w14:paraId="6D9E7A7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1-2 </w:t>
            </w:r>
            <w:r>
              <w:rPr>
                <w:rFonts w:hint="eastAsia" w:ascii="宋体" w:hAnsi="宋体" w:eastAsia="宋体" w:cs="宋体"/>
                <w:i w:val="0"/>
                <w:iCs w:val="0"/>
                <w:color w:val="auto"/>
                <w:kern w:val="0"/>
                <w:sz w:val="21"/>
                <w:szCs w:val="21"/>
                <w:highlight w:val="none"/>
                <w:lang w:val="en-US" w:eastAsia="zh-CN" w:bidi="ar"/>
              </w:rPr>
              <w:t>A4幅面黑白双面网络单打印激光打印机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*打印速度(黑白,标准,A4)≥28PPM;典型能源消耗（kW·h）≤1.8，适配符合安全可靠测评要求的计算机平台及符合安全可靠测评要求的操作系统</w:t>
            </w:r>
          </w:p>
        </w:tc>
      </w:tr>
      <w:tr w14:paraId="1D6DB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bottom w:val="single" w:color="auto" w:sz="4" w:space="0"/>
            </w:tcBorders>
            <w:noWrap w:val="0"/>
            <w:vAlign w:val="center"/>
          </w:tcPr>
          <w:p w14:paraId="569A99D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33</w:t>
            </w:r>
          </w:p>
        </w:tc>
        <w:tc>
          <w:tcPr>
            <w:tcW w:w="317" w:type="pct"/>
            <w:tcBorders>
              <w:bottom w:val="single" w:color="auto" w:sz="4" w:space="0"/>
            </w:tcBorders>
            <w:noWrap w:val="0"/>
            <w:vAlign w:val="center"/>
          </w:tcPr>
          <w:p w14:paraId="02A202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tcBorders>
              <w:bottom w:val="single" w:color="auto" w:sz="4" w:space="0"/>
            </w:tcBorders>
            <w:noWrap w:val="0"/>
            <w:vAlign w:val="center"/>
          </w:tcPr>
          <w:p w14:paraId="46395F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tcBorders>
              <w:bottom w:val="single" w:color="auto" w:sz="4" w:space="0"/>
            </w:tcBorders>
            <w:noWrap w:val="0"/>
            <w:vAlign w:val="center"/>
          </w:tcPr>
          <w:p w14:paraId="632238F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1-3 </w:t>
            </w:r>
            <w:r>
              <w:rPr>
                <w:rFonts w:hint="eastAsia" w:ascii="宋体" w:hAnsi="宋体" w:eastAsia="宋体" w:cs="宋体"/>
                <w:i w:val="0"/>
                <w:iCs w:val="0"/>
                <w:color w:val="auto"/>
                <w:kern w:val="0"/>
                <w:sz w:val="21"/>
                <w:szCs w:val="21"/>
                <w:highlight w:val="none"/>
                <w:lang w:val="en-US" w:eastAsia="zh-CN" w:bidi="ar"/>
              </w:rPr>
              <w:t>A4幅面黑白双面网络单打印激光打印机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*打印速度(黑白,标准,A4)≥38PPM;典型能源消耗（kW·h）≤2.7，适配符合安全可靠测评要求的计算机平台及符合安全可靠测评要求的操作系统</w:t>
            </w:r>
          </w:p>
        </w:tc>
      </w:tr>
      <w:tr w14:paraId="0A10C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44CD87E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34</w:t>
            </w:r>
          </w:p>
        </w:tc>
        <w:tc>
          <w:tcPr>
            <w:tcW w:w="317" w:type="pct"/>
            <w:noWrap w:val="0"/>
            <w:vAlign w:val="center"/>
          </w:tcPr>
          <w:p w14:paraId="2E812A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302FC0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20149C7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1-4 </w:t>
            </w:r>
            <w:r>
              <w:rPr>
                <w:rFonts w:hint="eastAsia" w:ascii="宋体" w:hAnsi="宋体" w:eastAsia="宋体" w:cs="宋体"/>
                <w:i w:val="0"/>
                <w:iCs w:val="0"/>
                <w:color w:val="auto"/>
                <w:kern w:val="0"/>
                <w:sz w:val="21"/>
                <w:szCs w:val="21"/>
                <w:highlight w:val="none"/>
                <w:lang w:val="en-US" w:eastAsia="zh-CN" w:bidi="ar"/>
              </w:rPr>
              <w:t>A4幅面彩色双面网络单打印激光打印机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*打印速度(黑白,标准,A4)≥21ppm，打印速度(彩色,标准,A4)≥21ppm；典型能源消耗（kW·h）≤1.5，适配符合安全可靠测评要求的计算机平台及符合安全可靠测评要求的操作系统</w:t>
            </w:r>
          </w:p>
        </w:tc>
      </w:tr>
      <w:tr w14:paraId="6CEB4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4512E0E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35</w:t>
            </w:r>
          </w:p>
        </w:tc>
        <w:tc>
          <w:tcPr>
            <w:tcW w:w="317" w:type="pct"/>
            <w:noWrap w:val="0"/>
            <w:vAlign w:val="center"/>
          </w:tcPr>
          <w:p w14:paraId="3F018C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5B21C1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4A695EF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1-5 </w:t>
            </w:r>
            <w:r>
              <w:rPr>
                <w:rFonts w:hint="eastAsia" w:ascii="宋体" w:hAnsi="宋体" w:eastAsia="宋体" w:cs="宋体"/>
                <w:i w:val="0"/>
                <w:iCs w:val="0"/>
                <w:color w:val="auto"/>
                <w:kern w:val="0"/>
                <w:sz w:val="21"/>
                <w:szCs w:val="21"/>
                <w:highlight w:val="none"/>
                <w:lang w:val="en-US" w:eastAsia="zh-CN" w:bidi="ar"/>
              </w:rPr>
              <w:t>A4幅面彩色双面网络单打印激光打印机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*打印速度(黑白,就绪,A4)≥33ppm，打印速度(彩色,标准,A4)≥33ppm；典型能源消耗（kW·h）≤3.5，适配符合安全可靠测评要求的计算机平台及符合安全可靠测评要求的操作系统</w:t>
            </w:r>
          </w:p>
        </w:tc>
      </w:tr>
      <w:tr w14:paraId="438D3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5EC368D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36</w:t>
            </w:r>
          </w:p>
        </w:tc>
        <w:tc>
          <w:tcPr>
            <w:tcW w:w="317" w:type="pct"/>
            <w:noWrap w:val="0"/>
            <w:vAlign w:val="center"/>
          </w:tcPr>
          <w:p w14:paraId="6BEC8F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34C151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426DF2C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1-6 </w:t>
            </w:r>
            <w:r>
              <w:rPr>
                <w:rFonts w:hint="eastAsia" w:ascii="宋体" w:hAnsi="宋体" w:eastAsia="宋体" w:cs="宋体"/>
                <w:i w:val="0"/>
                <w:iCs w:val="0"/>
                <w:color w:val="auto"/>
                <w:kern w:val="0"/>
                <w:sz w:val="21"/>
                <w:szCs w:val="21"/>
                <w:highlight w:val="none"/>
                <w:lang w:val="en-US" w:eastAsia="zh-CN" w:bidi="ar"/>
              </w:rPr>
              <w:t>A3幅面黑白网络双面单打印激光打印机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*打印速度(黑白,标准,A4)≥30ppm；典型能源消耗（kW·h）≤4.5，适配符合安全可靠测评要求的计算机平台及符合安全可靠测评要求的操作系统</w:t>
            </w:r>
          </w:p>
        </w:tc>
      </w:tr>
      <w:tr w14:paraId="2B5CA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554F3F9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37</w:t>
            </w:r>
          </w:p>
        </w:tc>
        <w:tc>
          <w:tcPr>
            <w:tcW w:w="317" w:type="pct"/>
            <w:noWrap w:val="0"/>
            <w:vAlign w:val="center"/>
          </w:tcPr>
          <w:p w14:paraId="4E85F8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0FEB33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1CFE5F9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1-7 </w:t>
            </w:r>
            <w:r>
              <w:rPr>
                <w:rFonts w:hint="eastAsia" w:ascii="宋体" w:hAnsi="宋体" w:eastAsia="宋体" w:cs="宋体"/>
                <w:i w:val="0"/>
                <w:iCs w:val="0"/>
                <w:color w:val="auto"/>
                <w:kern w:val="0"/>
                <w:sz w:val="21"/>
                <w:szCs w:val="21"/>
                <w:highlight w:val="none"/>
                <w:lang w:val="en-US" w:eastAsia="zh-CN" w:bidi="ar"/>
              </w:rPr>
              <w:t>A3幅面彩色网络双面单打印激光打印机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*打印速度(黑白,标准,A4)≥20ppm，打印速度(彩色,标准,A4)≥20ppm；典型能源消耗（kW·h）≤4.5，适配符合安全可靠测评要求的计算机平台及符合安全可靠测评要求的操作系统</w:t>
            </w:r>
          </w:p>
        </w:tc>
      </w:tr>
      <w:tr w14:paraId="0FF8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1297674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38</w:t>
            </w:r>
          </w:p>
        </w:tc>
        <w:tc>
          <w:tcPr>
            <w:tcW w:w="317" w:type="pct"/>
            <w:noWrap w:val="0"/>
            <w:vAlign w:val="center"/>
          </w:tcPr>
          <w:p w14:paraId="7AEAFE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14A88A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09CC9ED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*1、投标人投标的激光打印机产品必须为同一品牌产品，否则将导致废标。</w:t>
            </w:r>
          </w:p>
        </w:tc>
      </w:tr>
      <w:tr w14:paraId="7104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5B52AF7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39</w:t>
            </w:r>
          </w:p>
        </w:tc>
        <w:tc>
          <w:tcPr>
            <w:tcW w:w="317" w:type="pct"/>
            <w:noWrap w:val="0"/>
            <w:vAlign w:val="center"/>
          </w:tcPr>
          <w:p w14:paraId="08A781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3C0F354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二</w:t>
            </w:r>
          </w:p>
        </w:tc>
        <w:tc>
          <w:tcPr>
            <w:tcW w:w="3690" w:type="pct"/>
            <w:noWrap w:val="0"/>
            <w:vAlign w:val="center"/>
          </w:tcPr>
          <w:p w14:paraId="4F0C939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*1、投标人承诺设备</w:t>
            </w:r>
            <w:r>
              <w:rPr>
                <w:rFonts w:hint="eastAsia" w:ascii="宋体" w:hAnsi="宋体" w:eastAsia="宋体" w:cs="宋体"/>
                <w:b/>
                <w:bCs w:val="0"/>
                <w:color w:val="auto"/>
                <w:kern w:val="2"/>
                <w:sz w:val="24"/>
                <w:szCs w:val="24"/>
                <w:highlight w:val="none"/>
                <w:lang w:val="en-US" w:eastAsia="zh-CN" w:bidi="ar"/>
              </w:rPr>
              <w:t>自最终验收合格之日起至少一年免费上门保修。期间中标供应商应提供一切免费维修服务和免费更换零配件。同时投标人保证保修年限不低于合同货物中品牌型号的官网标准。</w:t>
            </w:r>
          </w:p>
        </w:tc>
      </w:tr>
      <w:tr w14:paraId="626CA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53DD0C4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40</w:t>
            </w:r>
          </w:p>
        </w:tc>
        <w:tc>
          <w:tcPr>
            <w:tcW w:w="317" w:type="pct"/>
            <w:noWrap w:val="0"/>
            <w:vAlign w:val="center"/>
          </w:tcPr>
          <w:p w14:paraId="56C396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4321F7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4856BCC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*2、投标人应在投标文件中提供具体的售后服务承诺条款。</w:t>
            </w:r>
          </w:p>
        </w:tc>
      </w:tr>
      <w:tr w14:paraId="79731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3E707AF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41</w:t>
            </w:r>
          </w:p>
        </w:tc>
        <w:tc>
          <w:tcPr>
            <w:tcW w:w="317" w:type="pct"/>
            <w:noWrap w:val="0"/>
            <w:vAlign w:val="center"/>
          </w:tcPr>
          <w:p w14:paraId="190904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2BCBF2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5D526B9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*3、设备故障若在约定时间内无法修复的，中标供应商应先提供备用机</w:t>
            </w:r>
            <w:r>
              <w:rPr>
                <w:rFonts w:hint="eastAsia" w:ascii="宋体" w:hAnsi="宋体" w:eastAsia="宋体" w:cs="宋体"/>
                <w:b/>
                <w:bCs w:val="0"/>
                <w:color w:val="auto"/>
                <w:kern w:val="2"/>
                <w:sz w:val="24"/>
                <w:szCs w:val="24"/>
                <w:highlight w:val="none"/>
                <w:lang w:val="en-US" w:eastAsia="zh-CN" w:bidi="ar"/>
              </w:rPr>
              <w:t>供最终用户使用，直至设备修复；如中标供应商所提供的备用机与故障机的型号不同，则需免费提供耗材。如果中标供应商未在承诺的时间内将设备修复或者提供备用机的则中标供应商应按人民币：</w:t>
            </w:r>
            <w:r>
              <w:rPr>
                <w:rFonts w:hint="eastAsia" w:ascii="宋体" w:hAnsi="宋体" w:eastAsia="宋体" w:cs="Times New Roman"/>
                <w:b/>
                <w:bCs w:val="0"/>
                <w:color w:val="auto"/>
                <w:kern w:val="2"/>
                <w:sz w:val="24"/>
                <w:szCs w:val="24"/>
                <w:highlight w:val="none"/>
                <w:lang w:val="en-US" w:eastAsia="zh-CN" w:bidi="ar"/>
              </w:rPr>
              <w:t>200.00元/台/天向采购单位支付逾期违约金。</w:t>
            </w:r>
          </w:p>
        </w:tc>
      </w:tr>
      <w:tr w14:paraId="144D7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5F3EF84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42</w:t>
            </w:r>
          </w:p>
        </w:tc>
        <w:tc>
          <w:tcPr>
            <w:tcW w:w="317" w:type="pct"/>
            <w:noWrap w:val="0"/>
            <w:vAlign w:val="center"/>
          </w:tcPr>
          <w:p w14:paraId="4AED88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50CAEE9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三</w:t>
            </w:r>
          </w:p>
        </w:tc>
        <w:tc>
          <w:tcPr>
            <w:tcW w:w="3690" w:type="pct"/>
            <w:noWrap w:val="0"/>
            <w:vAlign w:val="center"/>
          </w:tcPr>
          <w:p w14:paraId="6748269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*1、投标人须以人民币报价，总报价为投标设备</w:t>
            </w:r>
            <w:r>
              <w:rPr>
                <w:rFonts w:hint="eastAsia" w:ascii="宋体" w:hAnsi="宋体" w:eastAsia="宋体" w:cs="宋体"/>
                <w:b/>
                <w:bCs w:val="0"/>
                <w:color w:val="auto"/>
                <w:kern w:val="2"/>
                <w:sz w:val="24"/>
                <w:szCs w:val="24"/>
                <w:highlight w:val="none"/>
                <w:lang w:val="en-US" w:eastAsia="zh-CN" w:bidi="ar"/>
              </w:rPr>
              <w:t>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总报价中），报价方式为总包价。</w:t>
            </w:r>
          </w:p>
        </w:tc>
      </w:tr>
      <w:tr w14:paraId="5DE11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09F4B70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43</w:t>
            </w:r>
          </w:p>
        </w:tc>
        <w:tc>
          <w:tcPr>
            <w:tcW w:w="317" w:type="pct"/>
            <w:noWrap w:val="0"/>
            <w:vAlign w:val="center"/>
          </w:tcPr>
          <w:p w14:paraId="62C3B2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7848EE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011ABC2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*2、投标人必须列出采购货物一览表中品目号设备的单价及总价。</w:t>
            </w:r>
          </w:p>
        </w:tc>
      </w:tr>
      <w:tr w14:paraId="11291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3A194AF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44</w:t>
            </w:r>
          </w:p>
        </w:tc>
        <w:tc>
          <w:tcPr>
            <w:tcW w:w="317" w:type="pct"/>
            <w:noWrap w:val="0"/>
            <w:vAlign w:val="center"/>
          </w:tcPr>
          <w:p w14:paraId="11A933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29EAE0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440E89A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*3、本项目的采购预算</w:t>
            </w:r>
            <w:r>
              <w:rPr>
                <w:rFonts w:hint="eastAsia" w:ascii="宋体" w:hAnsi="宋体" w:eastAsia="宋体" w:cs="宋体"/>
                <w:b/>
                <w:bCs w:val="0"/>
                <w:color w:val="auto"/>
                <w:kern w:val="2"/>
                <w:sz w:val="24"/>
                <w:szCs w:val="24"/>
                <w:highlight w:val="none"/>
                <w:lang w:val="en-US" w:eastAsia="zh-CN" w:bidi="ar"/>
              </w:rPr>
              <w:t>为人民币1188万元，各品目号也设置采购预算（品目号1-1为人民币1,100元/台；品目号1-2为人民币1,800元/台；品目号1-3为人民币2,900元/台；品目号1-4为人民币3,500元/台；品目号1-5为人民币7,000元/台；品目号1-6为人民币10,000元/台；品目号1-7为人民币12,000元/台），投标人的总报价和各品目号的报价均不得超过采购预算，否则作废标处理。</w:t>
            </w:r>
          </w:p>
        </w:tc>
      </w:tr>
      <w:tr w14:paraId="3D4D0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7747934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45</w:t>
            </w:r>
          </w:p>
        </w:tc>
        <w:tc>
          <w:tcPr>
            <w:tcW w:w="317" w:type="pct"/>
            <w:noWrap w:val="0"/>
            <w:vAlign w:val="center"/>
          </w:tcPr>
          <w:p w14:paraId="2945D7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2C166A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05C9A4F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4、投标人承诺同意本项目采购的产品按照销售对象及销售区域的不同而分别与采购单位签订合同，即签订一份适用于厦门市政府机关事业单位、一份适用于福建省内其他终端用户采购合同。两份合同的总数量和总金额为本次采购的总数量和总金额。</w:t>
            </w:r>
          </w:p>
        </w:tc>
      </w:tr>
      <w:tr w14:paraId="6561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37C5939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46</w:t>
            </w:r>
          </w:p>
        </w:tc>
        <w:tc>
          <w:tcPr>
            <w:tcW w:w="317" w:type="pct"/>
            <w:noWrap w:val="0"/>
            <w:vAlign w:val="center"/>
          </w:tcPr>
          <w:p w14:paraId="2E644B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0EDEA6B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四</w:t>
            </w:r>
          </w:p>
        </w:tc>
        <w:tc>
          <w:tcPr>
            <w:tcW w:w="3690" w:type="pct"/>
            <w:noWrap w:val="0"/>
            <w:vAlign w:val="center"/>
          </w:tcPr>
          <w:p w14:paraId="73AE38A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*1、投标人须在投标文件中明确</w:t>
            </w:r>
            <w:r>
              <w:rPr>
                <w:rFonts w:hint="eastAsia" w:ascii="宋体" w:hAnsi="宋体" w:eastAsia="宋体" w:cs="宋体"/>
                <w:b/>
                <w:bCs w:val="0"/>
                <w:color w:val="auto"/>
                <w:kern w:val="2"/>
                <w:sz w:val="24"/>
                <w:szCs w:val="24"/>
                <w:highlight w:val="none"/>
                <w:lang w:val="en-US" w:eastAsia="zh-CN" w:bidi="ar"/>
              </w:rPr>
              <w:t>作出书面承诺：投标人承诺接受《采购合同》中《服务考核细则》对其的考核并同意按考核情况处理。</w:t>
            </w:r>
          </w:p>
        </w:tc>
      </w:tr>
      <w:tr w14:paraId="65169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5579980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47</w:t>
            </w:r>
          </w:p>
        </w:tc>
        <w:tc>
          <w:tcPr>
            <w:tcW w:w="317" w:type="pct"/>
            <w:noWrap w:val="0"/>
            <w:vAlign w:val="center"/>
          </w:tcPr>
          <w:p w14:paraId="06E317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2787F0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5A96D9D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*2、采购单位付款时，中标供应商应提供一般纳税人的增值税专用发票；否则，采购单位有权拒绝支付相应款项。</w:t>
            </w:r>
          </w:p>
        </w:tc>
      </w:tr>
      <w:tr w14:paraId="2B940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00C12A8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48</w:t>
            </w:r>
          </w:p>
        </w:tc>
        <w:tc>
          <w:tcPr>
            <w:tcW w:w="317" w:type="pct"/>
            <w:noWrap w:val="0"/>
            <w:vAlign w:val="center"/>
          </w:tcPr>
          <w:p w14:paraId="502D40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09909A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133896C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*3、投标人承诺，如获中标将配合采购单位及产品检验检测机构进行投标产品的检验检测，产品检验检测产生的一切相关费用由中标供应商承担。</w:t>
            </w:r>
          </w:p>
        </w:tc>
      </w:tr>
      <w:tr w14:paraId="69A9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41644D6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49</w:t>
            </w:r>
          </w:p>
        </w:tc>
        <w:tc>
          <w:tcPr>
            <w:tcW w:w="317" w:type="pct"/>
            <w:noWrap w:val="0"/>
            <w:vAlign w:val="center"/>
          </w:tcPr>
          <w:p w14:paraId="0DC6CD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3552A4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7207DBF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*4</w:t>
            </w:r>
            <w:r>
              <w:rPr>
                <w:rFonts w:hint="eastAsia" w:ascii="宋体" w:hAnsi="宋体" w:eastAsia="宋体" w:cs="宋体"/>
                <w:b/>
                <w:bCs w:val="0"/>
                <w:color w:val="auto"/>
                <w:kern w:val="2"/>
                <w:sz w:val="24"/>
                <w:szCs w:val="24"/>
                <w:highlight w:val="none"/>
                <w:lang w:val="en-US" w:eastAsia="zh-CN" w:bidi="ar"/>
              </w:rPr>
              <w:t>、投标人承诺同意分别免费提供所有品目号各一台的投标产品给采购单位作为备用机，且于中标后第一次供货时一并提供。备用机归采购单位所有，由采购单位自行调配，合同期满后亦不予返还中标供应商。</w:t>
            </w:r>
          </w:p>
        </w:tc>
      </w:tr>
      <w:tr w14:paraId="60792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167BAA9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50</w:t>
            </w:r>
          </w:p>
        </w:tc>
        <w:tc>
          <w:tcPr>
            <w:tcW w:w="317" w:type="pct"/>
            <w:noWrap w:val="0"/>
            <w:vAlign w:val="center"/>
          </w:tcPr>
          <w:p w14:paraId="1380379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48380D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095CF36A">
            <w:pPr>
              <w:keepNext w:val="0"/>
              <w:keepLines w:val="0"/>
              <w:suppressLineNumbers w:val="0"/>
              <w:adjustRightInd w:val="0"/>
              <w:snapToGrid w:val="0"/>
              <w:spacing w:before="0" w:beforeAutospacing="0" w:after="0" w:afterAutospacing="0" w:line="360" w:lineRule="auto"/>
              <w:ind w:left="0" w:right="0" w:firstLine="482" w:firstLineChars="200"/>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*5、分批供货，以采购单位的供货通知为准。</w:t>
            </w:r>
          </w:p>
          <w:p w14:paraId="3EB141E7">
            <w:pPr>
              <w:keepNext w:val="0"/>
              <w:keepLines w:val="0"/>
              <w:widowControl w:val="0"/>
              <w:suppressLineNumbers w:val="0"/>
              <w:adjustRightInd w:val="0"/>
              <w:snapToGrid w:val="0"/>
              <w:spacing w:before="0" w:beforeAutospacing="0" w:after="0" w:afterAutospacing="0" w:line="360" w:lineRule="auto"/>
              <w:ind w:left="0" w:right="0" w:firstLine="482" w:firstLineChars="200"/>
              <w:jc w:val="both"/>
              <w:rPr>
                <w:rFonts w:hint="eastAsia" w:ascii="宋体" w:hAnsi="宋体" w:eastAsia="宋体" w:cs="宋体"/>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货物送采购单位仓库后再配送至最终用户的，中标供应商应在采购单位发出《定货单》之日起20 个日历日之内（《定货单》的交货期与本条约定不一致的，以《定货单》为准）将货交采购单位仓库， 货物到达采购单位仓库后，中标供应商应在接到采购单位通知后24小时内（仅指货物配送时限要求）将货物从采购单位仓库二次配送至最终用户（地址为厦门市岛内行政区域），并按约定完成安装调试后提请验收交付。中标供应商除承担运送至采购单位仓库的费用、货物存至采购单位仓库的仓储操作费（A4幅面激光打印机仓储操作费10元/台，A3幅面激光打印机仓储操作费15元/台），还应同时承担从采购单位仓库运送至最终用户的二次配送费用。中标供应商从采购单位仓库中提货之时起至货物经最终用户签收之时止，货物毁损、灭失的风险由中标供应商承担。</w:t>
            </w:r>
          </w:p>
          <w:p w14:paraId="1798C9B8">
            <w:pPr>
              <w:keepNext w:val="0"/>
              <w:keepLines w:val="0"/>
              <w:suppressLineNumbers w:val="0"/>
              <w:adjustRightInd w:val="0"/>
              <w:snapToGrid w:val="0"/>
              <w:spacing w:before="0" w:beforeAutospacing="0" w:after="0" w:afterAutospacing="0" w:line="360" w:lineRule="auto"/>
              <w:ind w:left="0" w:right="0" w:firstLine="482" w:firstLineChars="200"/>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若中标供应商未按约定的时间完成二次配送的，采购单位将代为进行二次配送，中标供应商应按如下费用标准最迟在采购单位发出《定货单》之日起10个工作日内向采购单位或采购单位指定的第三方物流商支付相应仓储操作费及二次配送费用：A4幅面激光打印机仓储操作费10元/台，二次配送费15元/台；A3幅面激光打印机仓储操作费15元/台，二次配送费45元/台。若中标供应商未向采购单位或采购单位指定的第三方物流商支付该仓储操作费及二次配送费用的，采购单位有权从中标供应商货款或约定的履约保证金总额中扣除相应费用。</w:t>
            </w:r>
          </w:p>
        </w:tc>
      </w:tr>
      <w:tr w14:paraId="0581A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54B9112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51</w:t>
            </w:r>
          </w:p>
        </w:tc>
        <w:tc>
          <w:tcPr>
            <w:tcW w:w="317" w:type="pct"/>
            <w:noWrap w:val="0"/>
            <w:vAlign w:val="center"/>
          </w:tcPr>
          <w:p w14:paraId="148835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28CA5A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4E5E8A3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0"/>
                <w:sz w:val="24"/>
                <w:szCs w:val="24"/>
                <w:highlight w:val="none"/>
                <w:lang w:val="en-US" w:eastAsia="zh-CN" w:bidi="ar"/>
              </w:rPr>
              <w:t xml:space="preserve"> *</w:t>
            </w:r>
            <w:r>
              <w:rPr>
                <w:rFonts w:hint="eastAsia" w:ascii="宋体" w:hAnsi="宋体" w:eastAsia="宋体" w:cs="宋体"/>
                <w:b/>
                <w:bCs w:val="0"/>
                <w:color w:val="auto"/>
                <w:kern w:val="0"/>
                <w:sz w:val="24"/>
                <w:szCs w:val="24"/>
                <w:highlight w:val="none"/>
                <w:lang w:val="en-US" w:eastAsia="zh-CN" w:bidi="ar"/>
              </w:rPr>
              <w:t>6、</w:t>
            </w:r>
            <w:r>
              <w:rPr>
                <w:rFonts w:hint="eastAsia" w:ascii="宋体" w:hAnsi="宋体" w:eastAsia="宋体" w:cs="宋体"/>
                <w:b/>
                <w:bCs w:val="0"/>
                <w:color w:val="auto"/>
                <w:kern w:val="2"/>
                <w:sz w:val="24"/>
                <w:szCs w:val="24"/>
                <w:highlight w:val="none"/>
                <w:lang w:val="en-US" w:eastAsia="zh-CN" w:bidi="ar"/>
              </w:rPr>
              <w:t>合同期内每三个月，采购单位可根据市场行情变化，与中标供应商就产品单价进行重新谈判，价格不得高于中标价格。</w:t>
            </w:r>
          </w:p>
        </w:tc>
      </w:tr>
      <w:tr w14:paraId="4BBC1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21DD40E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52</w:t>
            </w:r>
          </w:p>
        </w:tc>
        <w:tc>
          <w:tcPr>
            <w:tcW w:w="317" w:type="pct"/>
            <w:noWrap w:val="0"/>
            <w:vAlign w:val="center"/>
          </w:tcPr>
          <w:p w14:paraId="1F3444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2F59C2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7769765F">
            <w:pPr>
              <w:keepNext w:val="0"/>
              <w:keepLines w:val="0"/>
              <w:suppressLineNumbers w:val="0"/>
              <w:spacing w:before="0" w:beforeAutospacing="0" w:after="0" w:afterAutospacing="0" w:line="360" w:lineRule="auto"/>
              <w:ind w:left="0" w:right="0"/>
              <w:rPr>
                <w:rFonts w:hint="eastAsia" w:ascii="宋体" w:hAnsi="宋体" w:eastAsia="宋体" w:cs="宋体"/>
                <w:b/>
                <w:bCs w:val="0"/>
                <w:color w:val="auto"/>
                <w:kern w:val="0"/>
                <w:sz w:val="24"/>
                <w:szCs w:val="24"/>
                <w:highlight w:val="none"/>
                <w:lang w:val="en-US" w:eastAsia="zh-CN" w:bidi="ar"/>
              </w:rPr>
            </w:pPr>
            <w:r>
              <w:rPr>
                <w:rFonts w:hint="eastAsia" w:ascii="宋体" w:hAnsi="宋体" w:eastAsia="宋体" w:cs="Times New Roman"/>
                <w:b/>
                <w:bCs w:val="0"/>
                <w:color w:val="auto"/>
                <w:kern w:val="0"/>
                <w:sz w:val="24"/>
                <w:szCs w:val="24"/>
                <w:highlight w:val="none"/>
                <w:lang w:val="en-US" w:eastAsia="zh-CN" w:bidi="ar"/>
              </w:rPr>
              <w:t>*</w:t>
            </w:r>
            <w:r>
              <w:rPr>
                <w:rFonts w:hint="eastAsia" w:ascii="宋体" w:hAnsi="宋体" w:eastAsia="宋体" w:cs="宋体"/>
                <w:b/>
                <w:bCs w:val="0"/>
                <w:color w:val="auto"/>
                <w:kern w:val="0"/>
                <w:sz w:val="24"/>
                <w:szCs w:val="24"/>
                <w:highlight w:val="none"/>
                <w:lang w:val="en-US" w:eastAsia="zh-CN" w:bidi="ar"/>
              </w:rPr>
              <w:t>7、投标人须在投标文件中书面承诺：提供产品的安装费用和上门售后服务费用不高于以下收费标准执行。</w:t>
            </w:r>
          </w:p>
          <w:p w14:paraId="761FCBA8">
            <w:pPr>
              <w:keepNext w:val="0"/>
              <w:keepLines w:val="0"/>
              <w:suppressLineNumbers w:val="0"/>
              <w:spacing w:before="0" w:beforeAutospacing="0" w:after="0" w:afterAutospacing="0" w:line="360" w:lineRule="auto"/>
              <w:ind w:left="0" w:right="0"/>
              <w:rPr>
                <w:rFonts w:hint="default" w:ascii="宋体" w:hAnsi="宋体" w:eastAsia="宋体" w:cs="宋体"/>
                <w:b/>
                <w:bCs w:val="0"/>
                <w:color w:val="auto"/>
                <w:kern w:val="0"/>
                <w:sz w:val="24"/>
                <w:szCs w:val="24"/>
                <w:highlight w:val="none"/>
                <w:lang w:eastAsia="zh-CN" w:bidi="ar"/>
              </w:rPr>
            </w:pPr>
            <w:r>
              <w:rPr>
                <w:rFonts w:hint="default" w:ascii="宋体" w:hAnsi="宋体" w:eastAsia="宋体" w:cs="宋体"/>
                <w:b/>
                <w:bCs w:val="0"/>
                <w:color w:val="auto"/>
                <w:kern w:val="0"/>
                <w:sz w:val="24"/>
                <w:szCs w:val="24"/>
                <w:highlight w:val="none"/>
                <w:lang w:eastAsia="zh-CN" w:bidi="ar"/>
              </w:rPr>
              <w:t>详见“第三章招标内容及要求”</w:t>
            </w:r>
          </w:p>
        </w:tc>
      </w:tr>
      <w:tr w14:paraId="57476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0BFDC9F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53</w:t>
            </w:r>
          </w:p>
        </w:tc>
        <w:tc>
          <w:tcPr>
            <w:tcW w:w="317" w:type="pct"/>
            <w:noWrap w:val="0"/>
            <w:vAlign w:val="center"/>
          </w:tcPr>
          <w:p w14:paraId="07DC27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75E0BD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6C19B9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8、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接给予扣除。</w:t>
            </w:r>
          </w:p>
        </w:tc>
      </w:tr>
      <w:tr w14:paraId="6751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14C7BFB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54</w:t>
            </w:r>
          </w:p>
        </w:tc>
        <w:tc>
          <w:tcPr>
            <w:tcW w:w="317" w:type="pct"/>
            <w:noWrap w:val="0"/>
            <w:vAlign w:val="center"/>
          </w:tcPr>
          <w:p w14:paraId="73FC84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74220D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4D4499C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*9、</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人承诺若中标，验收时（包括初验和最终验收），</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人必须派代表参加并确认验收结果，否则视为</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人对验收意见无异议。如该批次产品在最终验收时，出现开箱破损或者故障，无法进行最终验收的，</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人无条件给予更换新机并保证最终验收的顺畅进行。若</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人不同意更换新机或者配合，采购单位有权直接于中标供应商的履约保证金中扣除该批次产品及安装的等额费用，该条款可能造成的成本费用包含在</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人的总报价中。</w:t>
            </w:r>
          </w:p>
        </w:tc>
      </w:tr>
      <w:tr w14:paraId="14CFB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2DF7B72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55</w:t>
            </w:r>
          </w:p>
        </w:tc>
        <w:tc>
          <w:tcPr>
            <w:tcW w:w="317" w:type="pct"/>
            <w:noWrap w:val="0"/>
            <w:vAlign w:val="center"/>
          </w:tcPr>
          <w:p w14:paraId="0D14E2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1CCBB7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0FE152F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*10、</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人若中标，因</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人产品给采购单位造成的客诉，若</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人在接到采购单位通知后3个日历日内无法解决客诉，采购单位有权自行解决客诉，并直接于</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人的履约保证金中扣除解决客诉所产生的费用。</w:t>
            </w:r>
          </w:p>
        </w:tc>
      </w:tr>
      <w:tr w14:paraId="467F2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7D13C6C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56</w:t>
            </w:r>
          </w:p>
        </w:tc>
        <w:tc>
          <w:tcPr>
            <w:tcW w:w="317" w:type="pct"/>
            <w:noWrap w:val="0"/>
            <w:vAlign w:val="center"/>
          </w:tcPr>
          <w:p w14:paraId="05A89F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262BDF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3CCEB8E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11、投标人须在投标文件中书面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tc>
      </w:tr>
      <w:tr w14:paraId="06578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2368E6C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57</w:t>
            </w:r>
          </w:p>
        </w:tc>
        <w:tc>
          <w:tcPr>
            <w:tcW w:w="317" w:type="pct"/>
            <w:noWrap w:val="0"/>
            <w:vAlign w:val="center"/>
          </w:tcPr>
          <w:p w14:paraId="313FA0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72259C2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0C3BA22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12、投标人对合同条款的任何负偏离将导致废标。</w:t>
            </w:r>
          </w:p>
        </w:tc>
      </w:tr>
      <w:tr w14:paraId="2EC97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5184418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58</w:t>
            </w:r>
          </w:p>
        </w:tc>
        <w:tc>
          <w:tcPr>
            <w:tcW w:w="317" w:type="pct"/>
            <w:noWrap w:val="0"/>
            <w:vAlign w:val="center"/>
          </w:tcPr>
          <w:p w14:paraId="6832CF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3232FB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236D74A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3、对“一、招标要求”中带星号（“*”）的</w:t>
            </w:r>
            <w:r>
              <w:rPr>
                <w:rFonts w:hint="eastAsia" w:ascii="宋体" w:hAnsi="宋体" w:eastAsia="宋体" w:cs="宋体"/>
                <w:b/>
                <w:bCs w:val="0"/>
                <w:color w:val="auto"/>
                <w:kern w:val="2"/>
                <w:sz w:val="24"/>
                <w:szCs w:val="24"/>
                <w:highlight w:val="none"/>
                <w:lang w:val="en-US" w:eastAsia="zh-CN" w:bidi="ar"/>
              </w:rPr>
              <w:t>技术</w:t>
            </w:r>
            <w:r>
              <w:rPr>
                <w:rFonts w:hint="eastAsia" w:ascii="宋体" w:hAnsi="宋体" w:eastAsia="宋体" w:cs="宋体"/>
                <w:b/>
                <w:bCs w:val="0"/>
                <w:color w:val="auto"/>
                <w:kern w:val="2"/>
                <w:sz w:val="24"/>
                <w:szCs w:val="24"/>
                <w:highlight w:val="none"/>
                <w:lang w:val="en-US" w:eastAsia="zh-CN" w:bidi="ar"/>
              </w:rPr>
              <w:t>条款，投标人必须在投标文件中提供产品宣传单页或产品说明书或厂家官网产品页截图</w:t>
            </w:r>
            <w:r>
              <w:rPr>
                <w:rFonts w:hint="eastAsia" w:ascii="宋体" w:hAnsi="宋体" w:eastAsia="宋体" w:cs="宋体"/>
                <w:b/>
                <w:bCs w:val="0"/>
                <w:color w:val="auto"/>
                <w:kern w:val="2"/>
                <w:sz w:val="24"/>
                <w:szCs w:val="24"/>
                <w:highlight w:val="none"/>
                <w:lang w:val="en-US" w:eastAsia="zh-CN" w:bidi="ar"/>
              </w:rPr>
              <w:t>（*适配符合安全可靠测评要求的计算机平台及符合安全可靠测评要求的操作系统，此条进行书面承诺即可）予以证明。</w:t>
            </w:r>
            <w:r>
              <w:rPr>
                <w:rFonts w:hint="eastAsia" w:ascii="宋体" w:hAnsi="宋体" w:eastAsia="宋体" w:cs="宋体"/>
                <w:b/>
                <w:bCs w:val="0"/>
                <w:color w:val="auto"/>
                <w:kern w:val="2"/>
                <w:sz w:val="24"/>
                <w:szCs w:val="24"/>
                <w:highlight w:val="none"/>
                <w:lang w:val="en-US" w:eastAsia="zh-CN" w:bidi="ar"/>
              </w:rPr>
              <w:t>（加盖投标人公章，若投标人为联合体投标的，联合体中的其中一方盖章即可。）。</w:t>
            </w:r>
          </w:p>
        </w:tc>
      </w:tr>
      <w:tr w14:paraId="6CBB2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2E0E6F3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59</w:t>
            </w:r>
          </w:p>
        </w:tc>
        <w:tc>
          <w:tcPr>
            <w:tcW w:w="317" w:type="pct"/>
            <w:noWrap w:val="0"/>
            <w:vAlign w:val="center"/>
          </w:tcPr>
          <w:p w14:paraId="50039E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263032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7EBD753B">
            <w:pPr>
              <w:keepNext w:val="0"/>
              <w:keepLines w:val="0"/>
              <w:suppressLineNumbers w:val="0"/>
              <w:spacing w:before="0" w:beforeAutospacing="0" w:after="0" w:afterAutospacing="0" w:line="360" w:lineRule="auto"/>
              <w:ind w:left="0" w:right="0"/>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*14、凡属制造商的关联企业，其关联关系应符合《企业会计准则第36号——关联方披露（2006）》（财会[2006]3号）中“关联方关系”的要求，</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人应在</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文件中按后附格式提供《关联企业证明》。</w:t>
            </w:r>
          </w:p>
          <w:p w14:paraId="02717E8F">
            <w:pPr>
              <w:keepNext w:val="0"/>
              <w:keepLines w:val="0"/>
              <w:suppressLineNumbers w:val="0"/>
              <w:spacing w:before="0" w:beforeAutospacing="0" w:after="0" w:afterAutospacing="0" w:line="360" w:lineRule="auto"/>
              <w:ind w:left="0" w:right="0"/>
              <w:rPr>
                <w:rFonts w:hint="default" w:ascii="宋体" w:hAnsi="宋体" w:eastAsia="宋体" w:cs="宋体"/>
                <w:b/>
                <w:bCs w:val="0"/>
                <w:color w:val="auto"/>
                <w:kern w:val="2"/>
                <w:sz w:val="24"/>
                <w:szCs w:val="24"/>
                <w:highlight w:val="none"/>
                <w:lang w:eastAsia="zh-CN" w:bidi="ar"/>
              </w:rPr>
            </w:pPr>
            <w:r>
              <w:rPr>
                <w:rFonts w:hint="default" w:ascii="宋体" w:hAnsi="宋体" w:eastAsia="宋体" w:cs="宋体"/>
                <w:b/>
                <w:bCs w:val="0"/>
                <w:color w:val="auto"/>
                <w:kern w:val="2"/>
                <w:sz w:val="24"/>
                <w:szCs w:val="24"/>
                <w:highlight w:val="none"/>
                <w:lang w:eastAsia="zh-CN" w:bidi="ar"/>
              </w:rPr>
              <w:t>详见“第三章招标内容及要求”</w:t>
            </w:r>
          </w:p>
        </w:tc>
      </w:tr>
      <w:tr w14:paraId="436E4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622A212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60</w:t>
            </w:r>
          </w:p>
        </w:tc>
        <w:tc>
          <w:tcPr>
            <w:tcW w:w="317" w:type="pct"/>
            <w:noWrap w:val="0"/>
            <w:vAlign w:val="center"/>
          </w:tcPr>
          <w:p w14:paraId="5B2576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6B916C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4183380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5、投标人所投标设备应符合国家强制性产品认证标准的要求，获得</w:t>
            </w:r>
            <w:r>
              <w:rPr>
                <w:rFonts w:hint="eastAsia" w:ascii="宋体" w:hAnsi="宋体" w:eastAsia="宋体" w:cs="Times New Roman"/>
                <w:b/>
                <w:bCs w:val="0"/>
                <w:color w:val="auto"/>
                <w:kern w:val="2"/>
                <w:sz w:val="24"/>
                <w:szCs w:val="24"/>
                <w:highlight w:val="none"/>
                <w:lang w:val="en-US" w:eastAsia="zh-CN" w:bidi="ar"/>
              </w:rPr>
              <w:t>CCC认证证书，并在投标文件中提供CCC认证证书的复印件。</w:t>
            </w:r>
          </w:p>
        </w:tc>
      </w:tr>
      <w:tr w14:paraId="51122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noWrap w:val="0"/>
            <w:vAlign w:val="center"/>
          </w:tcPr>
          <w:p w14:paraId="44C7F0C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61</w:t>
            </w:r>
          </w:p>
        </w:tc>
        <w:tc>
          <w:tcPr>
            <w:tcW w:w="317" w:type="pct"/>
            <w:noWrap w:val="0"/>
            <w:vAlign w:val="center"/>
          </w:tcPr>
          <w:p w14:paraId="351095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noWrap w:val="0"/>
            <w:vAlign w:val="center"/>
          </w:tcPr>
          <w:p w14:paraId="03AD44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690" w:type="pct"/>
            <w:noWrap w:val="0"/>
            <w:vAlign w:val="center"/>
          </w:tcPr>
          <w:p w14:paraId="270AFE6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6、所投产品必须获得政府采购节能产品认证（激光打印机类）。投标人应在投标文件中提供其所投产品节能证书复印件（加盖投标人公章）。</w:t>
            </w:r>
          </w:p>
        </w:tc>
      </w:tr>
      <w:tr w14:paraId="37EB4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tcBorders>
              <w:bottom w:val="single" w:color="auto" w:sz="4" w:space="0"/>
            </w:tcBorders>
            <w:noWrap w:val="0"/>
            <w:vAlign w:val="center"/>
          </w:tcPr>
          <w:p w14:paraId="0CBC614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62</w:t>
            </w:r>
          </w:p>
        </w:tc>
        <w:tc>
          <w:tcPr>
            <w:tcW w:w="317" w:type="pct"/>
            <w:tcBorders>
              <w:bottom w:val="single" w:color="auto" w:sz="4" w:space="0"/>
            </w:tcBorders>
            <w:noWrap w:val="0"/>
            <w:vAlign w:val="center"/>
          </w:tcPr>
          <w:p w14:paraId="115249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7" w:type="pct"/>
            <w:tcBorders>
              <w:bottom w:val="single" w:color="auto" w:sz="4" w:space="0"/>
            </w:tcBorders>
            <w:noWrap w:val="0"/>
            <w:vAlign w:val="center"/>
          </w:tcPr>
          <w:p w14:paraId="615F3FF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五</w:t>
            </w:r>
          </w:p>
        </w:tc>
        <w:tc>
          <w:tcPr>
            <w:tcW w:w="3690" w:type="pct"/>
            <w:tcBorders>
              <w:bottom w:val="single" w:color="auto" w:sz="4" w:space="0"/>
            </w:tcBorders>
            <w:noWrap w:val="0"/>
            <w:vAlign w:val="center"/>
          </w:tcPr>
          <w:p w14:paraId="7FB82FAA">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投标人须对以下条款承诺：</w:t>
            </w:r>
          </w:p>
          <w:p w14:paraId="75D408C2">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1、中标供应商应在合同签订之日起7个日历日内向采购单位缴交合同总金额2%的供货履约保证金及合同总金额3%的服务履约保证金。供货履约保证金，采购单位于本合同有效期满且最后一批次货物供货完成后20个工作日内一次性无息支付给中标供应商（扣除相应的违约金、赔偿金）。服务履约保证金，采购单位于本合同有效期内最后一批次货物保修期届满后20个工作日内一次性无息支付给中标供应商（扣除相应的违约金、赔偿金）</w:t>
            </w:r>
          </w:p>
          <w:p w14:paraId="7F40E243">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中标供应商因违约行为导致履约保证金被采购单位扣除的，中标供应商应于被扣除之日起7个日历日内补足，使履约保证金金额满足上述约定的要求。</w:t>
            </w:r>
          </w:p>
          <w:p w14:paraId="132B58DD">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*2、交货方式：合同签订后分批供货，按批次支付货款。</w:t>
            </w:r>
          </w:p>
          <w:p w14:paraId="29FFC319">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*3、货交采购单位仓库的，经采购单位初验合格后，采购单位凭如下单证和文件在 45 个日历日内向中标供应商一次性支付至该批次货款的 100 %。</w:t>
            </w:r>
          </w:p>
          <w:p w14:paraId="1F3D105E">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中标供应商要求付款应提交下列单证和文件：</w:t>
            </w:r>
          </w:p>
          <w:p w14:paraId="16674FCB">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a.金额为100%的该批次货款的一般纳税人增值税专用发票；</w:t>
            </w:r>
          </w:p>
          <w:p w14:paraId="088D20B0">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b.中标供应商已缴纳该批货物的中标/成交服务费和二次配送费用、仓储操作费的证明材料；</w:t>
            </w:r>
          </w:p>
          <w:p w14:paraId="4177BC1A">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c.采购单位已收讫的该批次货物的《签收单》。</w:t>
            </w:r>
          </w:p>
          <w:p w14:paraId="7916605D">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货物直送最终用户的，该批次货物经安装调试完毕并经最终验收合格后，采购单位凭如下单证和文件在45个日历日内向中标供应商一次性付清该批次货款的全款。</w:t>
            </w:r>
          </w:p>
          <w:p w14:paraId="510CBB33">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a.金额为100%的该批次货款的一般纳税人增值税专用发票；</w:t>
            </w:r>
          </w:p>
          <w:p w14:paraId="4BF83BBA">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b.中标供应商已缴纳该批货物的成交服务费的证明材料；</w:t>
            </w:r>
          </w:p>
          <w:p w14:paraId="6A50C102">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c.该批次货物的《验收报告》(经最终用户签署)。</w:t>
            </w:r>
          </w:p>
          <w:p w14:paraId="23CE09CF">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 xml:space="preserve"> </w:t>
            </w:r>
          </w:p>
          <w:p w14:paraId="5E76088B">
            <w:pPr>
              <w:keepNext w:val="0"/>
              <w:keepLines w:val="0"/>
              <w:suppressLineNumbers w:val="0"/>
              <w:spacing w:before="0" w:beforeAutospacing="0" w:after="0" w:afterAutospacing="0" w:line="360" w:lineRule="auto"/>
              <w:ind w:left="0" w:right="0"/>
              <w:rPr>
                <w:rFonts w:hint="default" w:ascii="宋体" w:hAnsi="宋体" w:eastAsia="宋体" w:cs="Times New Roman"/>
                <w:b/>
                <w:color w:val="auto"/>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备注：中标供应商可提出比以上内容更有利于采购单位的付款方式。</w:t>
            </w:r>
          </w:p>
        </w:tc>
      </w:tr>
    </w:tbl>
    <w:p w14:paraId="5273408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4B809AAA">
      <w:pPr>
        <w:spacing w:line="360" w:lineRule="auto"/>
        <w:jc w:val="center"/>
        <w:rPr>
          <w:rFonts w:hint="eastAsia" w:ascii="宋体" w:hAnsi="宋体" w:eastAsia="宋体" w:cs="宋体"/>
          <w:color w:val="auto"/>
          <w:sz w:val="32"/>
          <w:szCs w:val="32"/>
          <w:highlight w:val="none"/>
        </w:rPr>
      </w:pPr>
    </w:p>
    <w:p w14:paraId="2EC70D67">
      <w:pPr>
        <w:spacing w:line="360" w:lineRule="auto"/>
        <w:jc w:val="center"/>
        <w:rPr>
          <w:rFonts w:hint="eastAsia" w:ascii="宋体" w:hAnsi="宋体" w:eastAsia="宋体" w:cs="宋体"/>
          <w:color w:val="auto"/>
          <w:sz w:val="32"/>
          <w:szCs w:val="32"/>
          <w:highlight w:val="none"/>
        </w:rPr>
      </w:pPr>
    </w:p>
    <w:p w14:paraId="3117C41A">
      <w:pPr>
        <w:spacing w:line="360" w:lineRule="auto"/>
        <w:jc w:val="center"/>
        <w:rPr>
          <w:rFonts w:hint="eastAsia" w:ascii="宋体" w:hAnsi="宋体" w:eastAsia="宋体" w:cs="宋体"/>
          <w:color w:val="auto"/>
          <w:sz w:val="32"/>
          <w:szCs w:val="32"/>
          <w:highlight w:val="none"/>
        </w:rPr>
      </w:pPr>
    </w:p>
    <w:p w14:paraId="62BC434F">
      <w:pPr>
        <w:spacing w:line="360" w:lineRule="auto"/>
        <w:jc w:val="center"/>
        <w:rPr>
          <w:rFonts w:hint="eastAsia" w:ascii="宋体" w:hAnsi="宋体" w:eastAsia="宋体" w:cs="宋体"/>
          <w:color w:val="auto"/>
          <w:sz w:val="32"/>
          <w:szCs w:val="32"/>
          <w:highlight w:val="none"/>
        </w:rPr>
      </w:pPr>
    </w:p>
    <w:p w14:paraId="0112E6B6">
      <w:pPr>
        <w:spacing w:line="360" w:lineRule="auto"/>
        <w:jc w:val="center"/>
        <w:rPr>
          <w:rFonts w:hint="eastAsia" w:ascii="宋体" w:hAnsi="宋体" w:eastAsia="宋体" w:cs="宋体"/>
          <w:color w:val="auto"/>
          <w:sz w:val="32"/>
          <w:szCs w:val="32"/>
          <w:highlight w:val="none"/>
        </w:rPr>
      </w:pPr>
    </w:p>
    <w:p w14:paraId="62AE4EA6">
      <w:pPr>
        <w:spacing w:line="360" w:lineRule="auto"/>
        <w:jc w:val="center"/>
        <w:rPr>
          <w:rFonts w:hint="eastAsia" w:ascii="宋体" w:hAnsi="宋体" w:eastAsia="宋体" w:cs="宋体"/>
          <w:color w:val="auto"/>
          <w:sz w:val="32"/>
          <w:szCs w:val="32"/>
          <w:highlight w:val="none"/>
        </w:rPr>
      </w:pPr>
    </w:p>
    <w:p w14:paraId="0CD6BFB2">
      <w:pPr>
        <w:spacing w:line="360" w:lineRule="auto"/>
        <w:jc w:val="center"/>
        <w:rPr>
          <w:rFonts w:hint="eastAsia" w:ascii="宋体" w:hAnsi="宋体" w:eastAsia="宋体" w:cs="宋体"/>
          <w:color w:val="auto"/>
          <w:sz w:val="32"/>
          <w:szCs w:val="32"/>
          <w:highlight w:val="none"/>
        </w:rPr>
      </w:pPr>
    </w:p>
    <w:p w14:paraId="46728719">
      <w:pPr>
        <w:spacing w:line="360" w:lineRule="auto"/>
        <w:jc w:val="center"/>
        <w:rPr>
          <w:rFonts w:hint="eastAsia" w:ascii="宋体" w:hAnsi="宋体" w:eastAsia="宋体" w:cs="宋体"/>
          <w:color w:val="auto"/>
          <w:sz w:val="32"/>
          <w:szCs w:val="32"/>
          <w:highlight w:val="none"/>
        </w:rPr>
      </w:pPr>
    </w:p>
    <w:p w14:paraId="61EE7D5B">
      <w:pPr>
        <w:spacing w:line="360" w:lineRule="auto"/>
        <w:jc w:val="center"/>
        <w:rPr>
          <w:rFonts w:hint="eastAsia" w:ascii="宋体" w:hAnsi="宋体" w:eastAsia="宋体" w:cs="宋体"/>
          <w:color w:val="auto"/>
          <w:sz w:val="32"/>
          <w:szCs w:val="32"/>
          <w:highlight w:val="none"/>
        </w:rPr>
      </w:pPr>
    </w:p>
    <w:p w14:paraId="779B3059">
      <w:pPr>
        <w:spacing w:line="360" w:lineRule="auto"/>
        <w:jc w:val="center"/>
        <w:rPr>
          <w:rFonts w:hint="eastAsia" w:ascii="宋体" w:hAnsi="宋体" w:eastAsia="宋体" w:cs="宋体"/>
          <w:color w:val="auto"/>
          <w:sz w:val="32"/>
          <w:szCs w:val="32"/>
          <w:highlight w:val="none"/>
        </w:rPr>
      </w:pPr>
    </w:p>
    <w:p w14:paraId="1FC705B7">
      <w:pPr>
        <w:spacing w:line="360" w:lineRule="auto"/>
        <w:jc w:val="center"/>
        <w:rPr>
          <w:rFonts w:hint="eastAsia" w:ascii="宋体" w:hAnsi="宋体" w:eastAsia="宋体" w:cs="宋体"/>
          <w:color w:val="auto"/>
          <w:sz w:val="32"/>
          <w:szCs w:val="32"/>
          <w:highlight w:val="none"/>
        </w:rPr>
      </w:pPr>
    </w:p>
    <w:p w14:paraId="42F3D033">
      <w:pPr>
        <w:spacing w:line="360" w:lineRule="auto"/>
        <w:jc w:val="center"/>
        <w:rPr>
          <w:rFonts w:hint="eastAsia" w:ascii="宋体" w:hAnsi="宋体" w:eastAsia="宋体" w:cs="宋体"/>
          <w:color w:val="auto"/>
          <w:sz w:val="32"/>
          <w:szCs w:val="32"/>
          <w:highlight w:val="none"/>
        </w:rPr>
      </w:pPr>
    </w:p>
    <w:p w14:paraId="512303A9">
      <w:pPr>
        <w:spacing w:line="360" w:lineRule="auto"/>
        <w:jc w:val="center"/>
        <w:rPr>
          <w:rFonts w:hint="eastAsia" w:ascii="宋体" w:hAnsi="宋体" w:eastAsia="宋体" w:cs="宋体"/>
          <w:color w:val="auto"/>
          <w:sz w:val="32"/>
          <w:szCs w:val="32"/>
          <w:highlight w:val="none"/>
        </w:rPr>
      </w:pPr>
    </w:p>
    <w:p w14:paraId="41D82D15">
      <w:pPr>
        <w:spacing w:line="360" w:lineRule="auto"/>
        <w:jc w:val="center"/>
        <w:rPr>
          <w:rFonts w:hint="eastAsia" w:ascii="宋体" w:hAnsi="宋体" w:eastAsia="宋体" w:cs="宋体"/>
          <w:color w:val="auto"/>
          <w:sz w:val="32"/>
          <w:szCs w:val="32"/>
          <w:highlight w:val="none"/>
        </w:rPr>
      </w:pPr>
    </w:p>
    <w:p w14:paraId="5CB356AD">
      <w:pPr>
        <w:spacing w:line="360" w:lineRule="auto"/>
        <w:jc w:val="center"/>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2"/>
        <w:tblW w:w="9205" w:type="dxa"/>
        <w:tblInd w:w="-1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5"/>
      </w:tblGrid>
      <w:tr w14:paraId="51E5D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tcBorders>
              <w:top w:val="single" w:color="auto" w:sz="4" w:space="0"/>
              <w:left w:val="single" w:color="auto" w:sz="4" w:space="0"/>
              <w:bottom w:val="single" w:color="auto" w:sz="4" w:space="0"/>
              <w:right w:val="single" w:color="auto" w:sz="4" w:space="0"/>
            </w:tcBorders>
            <w:noWrap w:val="0"/>
            <w:vAlign w:val="top"/>
          </w:tcPr>
          <w:p w14:paraId="77708597">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379CFE71">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59552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tcBorders>
              <w:top w:val="single" w:color="auto" w:sz="4" w:space="0"/>
              <w:left w:val="single" w:color="auto" w:sz="4" w:space="0"/>
              <w:bottom w:val="single" w:color="auto" w:sz="4" w:space="0"/>
              <w:right w:val="single" w:color="auto" w:sz="4" w:space="0"/>
            </w:tcBorders>
            <w:noWrap w:val="0"/>
            <w:vAlign w:val="top"/>
          </w:tcPr>
          <w:p w14:paraId="7B523CD6">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56B653CB">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3224A7E5">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5518069D">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344A7861">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个。</w:t>
            </w:r>
          </w:p>
          <w:p w14:paraId="38C85CC5">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3030C85F">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4FAB9123">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380AB339">
            <w:pPr>
              <w:pStyle w:val="2"/>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0F07F014">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0A0BB1B6">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156106DA">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52AE48FA">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181B742A">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35F9B13D">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261D1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tcBorders>
              <w:top w:val="single" w:color="auto" w:sz="4" w:space="0"/>
              <w:left w:val="single" w:color="auto" w:sz="4" w:space="0"/>
              <w:bottom w:val="single" w:color="auto" w:sz="4" w:space="0"/>
              <w:right w:val="single" w:color="auto" w:sz="4" w:space="0"/>
            </w:tcBorders>
            <w:noWrap w:val="0"/>
            <w:vAlign w:val="top"/>
          </w:tcPr>
          <w:p w14:paraId="610B5F7E">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rPr>
              <w:t>个）：</w:t>
            </w:r>
          </w:p>
          <w:p w14:paraId="4AF109AD">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4806528A">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32E301F5">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7EA0A46C">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219F4F49">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3422F439">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14:paraId="00516381">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分评分法，技术评分考虑下列因素：</w:t>
      </w:r>
    </w:p>
    <w:tbl>
      <w:tblPr>
        <w:tblStyle w:val="12"/>
        <w:tblW w:w="9471" w:type="dxa"/>
        <w:tblInd w:w="-400" w:type="dxa"/>
        <w:tblLayout w:type="fixed"/>
        <w:tblCellMar>
          <w:top w:w="0" w:type="dxa"/>
          <w:left w:w="108" w:type="dxa"/>
          <w:bottom w:w="0" w:type="dxa"/>
          <w:right w:w="108" w:type="dxa"/>
        </w:tblCellMar>
      </w:tblPr>
      <w:tblGrid>
        <w:gridCol w:w="925"/>
        <w:gridCol w:w="7595"/>
        <w:gridCol w:w="951"/>
      </w:tblGrid>
      <w:tr w14:paraId="3316853C">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26E7190C">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35D1B921">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6A15FF81">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4A3BCAD7">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48C262A5">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5F33FF1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198DEE3C">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-1的首页输出时间（黑白）进行评价。首页输出时间（黑白，就绪，A4）≤9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55016EEC">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5B702CD">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5FBC43F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58B94CD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-2的首页输出时间（黑白）进行评价。首页输出时间（黑白，就绪，A4）≤8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6EB36413">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5D498F47">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1410A80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3AEE6C79">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-3的首页输出时间（黑白）进行评价。首页输出时间（黑白，就绪，A4）≤7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5C48A6B3">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ABEDEF3">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0170410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73BB8FED">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-4的首页输出时间（黑白）进行评价。首页输出时间（（黑白，就绪，A4）≤13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7B2E4BA5">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3C084EB5">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5DD5063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1FF5F79B">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-4的首页输出时间（彩色）进行评价。首页输出时间（彩色，就绪，A4）≤13秒的得2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6047E2BB">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14:paraId="06B8DCA7">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0D2CB7C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7CCBF99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-5的首页输出时间（黑白）进行评价。首页输出时间（黑白，就绪，A4）≤13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0875D374">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598E3FB">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52C8401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1362F9E0">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-5的首页输出时间（彩色）进行评价。首页输出时间（彩色，就绪，A4）≤13秒的得2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1AAEE59B">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14:paraId="2969F194">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5E16442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1-8</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64E90AD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-6的首页输出时间（黑白）进行评价。首页输出时间（（黑白，就绪，A4）≤10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28CECD3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11E8EC82">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1D1F66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1-9</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140CC72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-7的首页输出时间（黑白）进行评价。首页输出时间（黑白，就绪，A4）≤17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2497125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3228225D">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6936EF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1-10</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51333EB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-7的首页输出时间（彩色）进行评价。首页输出时间（彩色，就绪，A4）≤17秒的得2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4F3F310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14:paraId="494703C1">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3CB82C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1-11</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73F7318E">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据投标设备中品目号1-1的典型能源消耗（kW·h）值进行评价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3276675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29263640">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7A78C2F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1-12</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7657CA97">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据投标设备中品目号1-2的典型能源消耗（kW·h）值进行评价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典型能源消耗（kW·h）≤1.2的得3分，其余得0分。（投标人需提供加盖投标人公章（若投标人为联合体投标的，联合体中的其中一方盖章即可）的体现该投标型号及对应的“典型能耗（kW•h)”的能效标识。）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1BFB0C4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0744B8D1">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1B8329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1-13</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37C3BB16">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据投标设备中品目号1-3的典型能源消耗（kW·h）值进行评价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典型能源消耗（kW·h）≤1.8的得3分，其余得0分。（投标人需提供加盖投标人公章（若投标人为联合体投标的，联合体中的其中一方盖章即可）的体现该投标型号及对应的“典型能耗（kW•h)”的能效标识。）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6D7C1FC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35CEDB8">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6FBA8D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1-14</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6F20B1FD">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据投标设备中品目号1-4的典型能源消耗（kW·h）值进行评价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典型能源消耗（kW·h）≤1.2的得3分，其余得0分。（投标人需提供加盖投标人公章（若投标人为联合体投标的，联合体中的其中一方盖章即可）的体现该投标型号及对应的“典型能耗（kW•h)”的能效标识。）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69617F4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2B427E19">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4DD3E5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1-15</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2FE5E871">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据投标设备中品目号1-5的典型能源消耗（kW·h）值进行评价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典型能源消耗（kW·h）≤1.5的得3分，其余得0分。（投标人需提供加盖投标人公章（若投标人为联合体投标的，联合体中的其中一方盖章即可）的体现该投标型号及对应的“典型能耗（kW•h)”的能效标识。）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7B294D46">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0DA4345">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1CFD8B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1-16</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138FEE5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据投标设备中品目号1-6的典型能源消耗（kW·h）值进行评价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4CD2E07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A573CF3">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58A4CD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1-17</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4425A2D4">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据投标设备中品目号1-7的典型能源消耗（kW·h）值进行评价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典型能源消耗（kW·h）≤2的得3分，其余得0分。（投标人需提供加盖投标人公章（若投标人为联合体投标的，联合体中的其中一方盖章即可）的体现该投标型号及对应的“典型能耗（kW•h)”的能效标识。）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6CC8E61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4077FD5B">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7A0789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1-18</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1011F32E">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-1的标配内存进行评价。标配内存≥64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641B813D">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7BD17EAE">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2B0A71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1-19</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0BD0029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-2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5222E94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59D86DBF">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5BC050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1-20</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544DF1D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-3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0D3F5B6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5C9EDC37">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0C399C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1-21</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161B5219">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-4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543C0FD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3822878C">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165737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1-22</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0A100EF6">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-5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01FE137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053FEF8E">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4CAE39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1-23</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1398BB34">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-6的标配内存进行评价。标配内存≥256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22276B8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3AB93027">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14:paraId="677E74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1-24</w:t>
            </w:r>
          </w:p>
        </w:tc>
        <w:tc>
          <w:tcPr>
            <w:tcW w:w="7595" w:type="dxa"/>
            <w:tcBorders>
              <w:top w:val="single" w:color="auto" w:sz="4" w:space="0"/>
              <w:left w:val="single" w:color="auto" w:sz="4" w:space="0"/>
              <w:bottom w:val="single" w:color="auto" w:sz="4" w:space="0"/>
              <w:right w:val="single" w:color="auto" w:sz="4" w:space="0"/>
            </w:tcBorders>
            <w:noWrap w:val="0"/>
            <w:vAlign w:val="center"/>
          </w:tcPr>
          <w:p w14:paraId="6946E01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-7的标配内存进行评价。标配内存≥2G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32AEAB2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bl>
    <w:p w14:paraId="6A784CD2">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75C920E2">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分评分法，商务评分考虑下列因素：</w:t>
      </w:r>
    </w:p>
    <w:tbl>
      <w:tblPr>
        <w:tblStyle w:val="12"/>
        <w:tblW w:w="9497" w:type="dxa"/>
        <w:tblInd w:w="-409" w:type="dxa"/>
        <w:tblLayout w:type="fixed"/>
        <w:tblCellMar>
          <w:top w:w="0" w:type="dxa"/>
          <w:left w:w="108" w:type="dxa"/>
          <w:bottom w:w="0" w:type="dxa"/>
          <w:right w:w="108" w:type="dxa"/>
        </w:tblCellMar>
      </w:tblPr>
      <w:tblGrid>
        <w:gridCol w:w="926"/>
        <w:gridCol w:w="7603"/>
        <w:gridCol w:w="968"/>
      </w:tblGrid>
      <w:tr w14:paraId="3CC43B56">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14:paraId="3CE3FCA5">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7603" w:type="dxa"/>
            <w:tcBorders>
              <w:top w:val="single" w:color="auto" w:sz="4" w:space="0"/>
              <w:left w:val="single" w:color="auto" w:sz="4" w:space="0"/>
              <w:bottom w:val="single" w:color="auto" w:sz="4" w:space="0"/>
              <w:right w:val="single" w:color="auto" w:sz="4" w:space="0"/>
            </w:tcBorders>
            <w:noWrap w:val="0"/>
            <w:vAlign w:val="center"/>
          </w:tcPr>
          <w:p w14:paraId="30EA2A6B">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968" w:type="dxa"/>
            <w:tcBorders>
              <w:top w:val="single" w:color="auto" w:sz="4" w:space="0"/>
              <w:left w:val="single" w:color="auto" w:sz="4" w:space="0"/>
              <w:bottom w:val="single" w:color="auto" w:sz="4" w:space="0"/>
              <w:right w:val="single" w:color="auto" w:sz="4" w:space="0"/>
            </w:tcBorders>
            <w:noWrap w:val="0"/>
            <w:vAlign w:val="center"/>
          </w:tcPr>
          <w:p w14:paraId="70668650">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1A5D46E2">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1511C24B">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14:paraId="37A90D49">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7603" w:type="dxa"/>
            <w:tcBorders>
              <w:top w:val="single" w:color="auto" w:sz="4" w:space="0"/>
              <w:left w:val="single" w:color="auto" w:sz="4" w:space="0"/>
              <w:bottom w:val="single" w:color="auto" w:sz="4" w:space="0"/>
              <w:right w:val="single" w:color="auto" w:sz="4" w:space="0"/>
            </w:tcBorders>
            <w:noWrap w:val="0"/>
            <w:vAlign w:val="center"/>
          </w:tcPr>
          <w:p w14:paraId="555FE1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据投标人是否为投标产品的制造商、制造商的关联企业、联合体或代理商进行评分。投标人为投标产品（品目号1-1至1-7全部产品）的制造商或制造商的关联企业的得3分，联合体投标得2分，其余情况得0分。备注：联合体投标的，联合体一方必须是投标产品（品目号1-1至1-7全部产品）的制造商或制造商的关联企业，凡属制造商的关联企业，其关联关系应符合《企业会计准则第36号—关联方披露（2006）》（财会[2006]3号）中“关联方关系”的要求，投标人应在投标文件中按后附格式提供《关联企业证明》。</w:t>
            </w:r>
          </w:p>
        </w:tc>
        <w:tc>
          <w:tcPr>
            <w:tcW w:w="968" w:type="dxa"/>
            <w:tcBorders>
              <w:top w:val="single" w:color="auto" w:sz="4" w:space="0"/>
              <w:left w:val="single" w:color="auto" w:sz="4" w:space="0"/>
              <w:bottom w:val="single" w:color="auto" w:sz="4" w:space="0"/>
              <w:right w:val="single" w:color="auto" w:sz="4" w:space="0"/>
            </w:tcBorders>
            <w:noWrap w:val="0"/>
            <w:vAlign w:val="center"/>
          </w:tcPr>
          <w:p w14:paraId="3147715F">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2E9BFC3A">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14:paraId="70201BC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7603" w:type="dxa"/>
            <w:tcBorders>
              <w:top w:val="single" w:color="auto" w:sz="4" w:space="0"/>
              <w:left w:val="single" w:color="auto" w:sz="4" w:space="0"/>
              <w:bottom w:val="single" w:color="auto" w:sz="4" w:space="0"/>
              <w:right w:val="single" w:color="auto" w:sz="4" w:space="0"/>
            </w:tcBorders>
            <w:noWrap w:val="0"/>
            <w:vAlign w:val="center"/>
          </w:tcPr>
          <w:p w14:paraId="1E5E5B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提供自2023年1月1日至开标当天获得同类项目采购人盖章的服务满意度调查资料（以满意度调查资料盖章落款时间为准），且满意度调查结果为满意的，每提供1份得1分，最高得3分，须提供客户满意度调查复印件，否则不得分。</w:t>
            </w:r>
          </w:p>
        </w:tc>
        <w:tc>
          <w:tcPr>
            <w:tcW w:w="968" w:type="dxa"/>
            <w:tcBorders>
              <w:top w:val="single" w:color="auto" w:sz="4" w:space="0"/>
              <w:left w:val="single" w:color="auto" w:sz="4" w:space="0"/>
              <w:bottom w:val="single" w:color="auto" w:sz="4" w:space="0"/>
              <w:right w:val="single" w:color="auto" w:sz="4" w:space="0"/>
            </w:tcBorders>
            <w:noWrap w:val="0"/>
            <w:vAlign w:val="center"/>
          </w:tcPr>
          <w:p w14:paraId="56DB0A16">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4148266B">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14:paraId="2C4A4BC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7603" w:type="dxa"/>
            <w:tcBorders>
              <w:top w:val="single" w:color="auto" w:sz="4" w:space="0"/>
              <w:left w:val="single" w:color="auto" w:sz="4" w:space="0"/>
              <w:bottom w:val="single" w:color="auto" w:sz="4" w:space="0"/>
              <w:right w:val="single" w:color="auto" w:sz="4" w:space="0"/>
            </w:tcBorders>
            <w:noWrap w:val="0"/>
            <w:vAlign w:val="center"/>
          </w:tcPr>
          <w:p w14:paraId="3B4722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承诺中标后在项目所在地提供售后服务人员≥30个的得3分，20个≤项目所在地提供售后服务人员＜30个的得2分，其余情况得0分。投标人需提供书面承诺函并加盖投标人公章，否则得0分。若投标人为联合体投标的，联合体中的其中一方盖章即可。</w:t>
            </w:r>
          </w:p>
        </w:tc>
        <w:tc>
          <w:tcPr>
            <w:tcW w:w="968" w:type="dxa"/>
            <w:tcBorders>
              <w:top w:val="single" w:color="auto" w:sz="4" w:space="0"/>
              <w:left w:val="single" w:color="auto" w:sz="4" w:space="0"/>
              <w:bottom w:val="single" w:color="auto" w:sz="4" w:space="0"/>
              <w:right w:val="single" w:color="auto" w:sz="4" w:space="0"/>
            </w:tcBorders>
            <w:noWrap w:val="0"/>
            <w:vAlign w:val="center"/>
          </w:tcPr>
          <w:p w14:paraId="75E7DCC6">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E3178ED">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14:paraId="6364851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7603" w:type="dxa"/>
            <w:tcBorders>
              <w:top w:val="single" w:color="auto" w:sz="4" w:space="0"/>
              <w:left w:val="single" w:color="auto" w:sz="4" w:space="0"/>
              <w:bottom w:val="single" w:color="auto" w:sz="4" w:space="0"/>
              <w:right w:val="single" w:color="auto" w:sz="4" w:space="0"/>
            </w:tcBorders>
            <w:noWrap w:val="0"/>
            <w:vAlign w:val="center"/>
          </w:tcPr>
          <w:p w14:paraId="4EA4E8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根据投标人对设备故障修复响应速度并能够有效解决采购人使用需求的进行评分：</w:t>
            </w:r>
          </w:p>
          <w:p w14:paraId="05844E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能够在15分钟（含）内响应、1小时（含）内到达现场、8小时（含）内修复，未能在8小时（含）修复的，予以更换或提供代用设备的得3分；</w:t>
            </w:r>
          </w:p>
          <w:p w14:paraId="42D4C9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能够在15分钟-30分钟（含）内响应、1小时-2小时（含）内到达现场、8小时-10小时（含）内修复，未能在10小时（含）修复的，予以更换或提供代用设备的得2分；</w:t>
            </w:r>
          </w:p>
          <w:p w14:paraId="2FFDBC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能够在30分钟-1小时（含）内响应、2小时-3小时（含）内到达现场、10小时-12小时（含）内修复，未能在12小时（含）修复的，予以更换或提供代用设备的得1分；</w:t>
            </w:r>
          </w:p>
          <w:p w14:paraId="6A00F5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投标人需提供书面承诺函并加盖投标人公章，否则得0分。</w:t>
            </w:r>
          </w:p>
        </w:tc>
        <w:tc>
          <w:tcPr>
            <w:tcW w:w="968" w:type="dxa"/>
            <w:tcBorders>
              <w:top w:val="single" w:color="auto" w:sz="4" w:space="0"/>
              <w:left w:val="single" w:color="auto" w:sz="4" w:space="0"/>
              <w:bottom w:val="single" w:color="auto" w:sz="4" w:space="0"/>
              <w:right w:val="single" w:color="auto" w:sz="4" w:space="0"/>
            </w:tcBorders>
            <w:noWrap w:val="0"/>
            <w:vAlign w:val="center"/>
          </w:tcPr>
          <w:p w14:paraId="086A4A69">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1AE502A">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14:paraId="2589FEB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7603" w:type="dxa"/>
            <w:tcBorders>
              <w:top w:val="single" w:color="auto" w:sz="4" w:space="0"/>
              <w:left w:val="single" w:color="auto" w:sz="4" w:space="0"/>
              <w:bottom w:val="single" w:color="auto" w:sz="4" w:space="0"/>
              <w:right w:val="single" w:color="auto" w:sz="4" w:space="0"/>
            </w:tcBorders>
            <w:noWrap w:val="0"/>
            <w:vAlign w:val="center"/>
          </w:tcPr>
          <w:p w14:paraId="54224D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根据投标人对最终用户投诉处理时效进行评分：</w:t>
            </w:r>
          </w:p>
          <w:p w14:paraId="10162A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能够在15分钟（含）内响应、1小时（含）内开始处理、2个工作日（含）内处理完的得3分；</w:t>
            </w:r>
          </w:p>
          <w:p w14:paraId="3483F2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能够在15-30分钟（含）内响应、1-2小时（含）内开始处理、2个工作日-3个工作日（含）内处理完的得2分；</w:t>
            </w:r>
          </w:p>
          <w:p w14:paraId="32FFB4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能够在30分钟-1小时（含）内响应、2-3小时（含）内开始处理、3个工作日-4个工作日（含）内处理完的得1分；</w:t>
            </w:r>
          </w:p>
          <w:p w14:paraId="78F0A3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投标人需提供书面承诺函并加盖投标人公章，否则得0分。若投标人为联合体投标的，联合体中的其中一方盖章即可。</w:t>
            </w:r>
          </w:p>
        </w:tc>
        <w:tc>
          <w:tcPr>
            <w:tcW w:w="968" w:type="dxa"/>
            <w:tcBorders>
              <w:top w:val="single" w:color="auto" w:sz="4" w:space="0"/>
              <w:left w:val="single" w:color="auto" w:sz="4" w:space="0"/>
              <w:bottom w:val="single" w:color="auto" w:sz="4" w:space="0"/>
              <w:right w:val="single" w:color="auto" w:sz="4" w:space="0"/>
            </w:tcBorders>
            <w:noWrap w:val="0"/>
            <w:vAlign w:val="center"/>
          </w:tcPr>
          <w:p w14:paraId="48710770">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bl>
    <w:p w14:paraId="48C3F4EB">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（基准价/各个通过审核的有效投标人的评标价）计算，由此算出各个通过审核的有效投标人的价格得分。</w:t>
      </w:r>
    </w:p>
    <w:p w14:paraId="0982A26F">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27A0F64E">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%的扣除，扣除后的价格作为该投标人的评标价参与价格评分。</w:t>
      </w:r>
    </w:p>
    <w:p w14:paraId="429703B4">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039238D8">
      <w:pPr>
        <w:pStyle w:val="11"/>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523CE45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60D6024D">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59AD9090">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23F0A0DC">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0485E5B6">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75186641">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49AB196D">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45AB5803">
      <w:pPr>
        <w:pStyle w:val="5"/>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41D26F22">
      <w:pPr>
        <w:pStyle w:val="5"/>
        <w:numPr>
          <w:ilvl w:val="0"/>
          <w:numId w:val="2"/>
        </w:numPr>
        <w:spacing w:line="360" w:lineRule="auto"/>
        <w:ind w:firstLine="720" w:firstLineChars="300"/>
        <w:rPr>
          <w:rFonts w:hint="eastAsia" w:hAnsi="宋体" w:eastAsia="宋体" w:cs="宋体"/>
          <w:color w:val="auto"/>
          <w:sz w:val="24"/>
          <w:szCs w:val="24"/>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14:paraId="42C9E659">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3B08304A">
      <w:pPr>
        <w:spacing w:line="360" w:lineRule="auto"/>
        <w:ind w:firstLine="1280" w:firstLineChars="400"/>
        <w:rPr>
          <w:rFonts w:hint="eastAsia" w:ascii="宋体" w:hAnsi="宋体" w:eastAsia="宋体" w:cs="宋体"/>
          <w:color w:val="auto"/>
          <w:sz w:val="32"/>
          <w:szCs w:val="32"/>
          <w:highlight w:val="none"/>
        </w:rPr>
      </w:pPr>
    </w:p>
    <w:p w14:paraId="2CB774D5">
      <w:pPr>
        <w:spacing w:line="360" w:lineRule="auto"/>
        <w:ind w:firstLine="1280" w:firstLineChars="400"/>
        <w:rPr>
          <w:rFonts w:hint="eastAsia" w:ascii="宋体" w:hAnsi="宋体" w:eastAsia="宋体" w:cs="宋体"/>
          <w:color w:val="auto"/>
          <w:sz w:val="32"/>
          <w:szCs w:val="32"/>
          <w:highlight w:val="none"/>
        </w:rPr>
      </w:pPr>
    </w:p>
    <w:p w14:paraId="5C872CCA">
      <w:pPr>
        <w:spacing w:line="360" w:lineRule="auto"/>
        <w:ind w:firstLine="1280" w:firstLineChars="400"/>
        <w:rPr>
          <w:rFonts w:hint="eastAsia" w:ascii="宋体" w:hAnsi="宋体" w:eastAsia="宋体" w:cs="宋体"/>
          <w:color w:val="auto"/>
          <w:sz w:val="32"/>
          <w:szCs w:val="32"/>
          <w:highlight w:val="none"/>
        </w:rPr>
      </w:pPr>
    </w:p>
    <w:p w14:paraId="504F3216">
      <w:pPr>
        <w:spacing w:line="360" w:lineRule="auto"/>
        <w:ind w:firstLine="1280" w:firstLineChars="400"/>
        <w:rPr>
          <w:rFonts w:hint="eastAsia" w:ascii="宋体" w:hAnsi="宋体" w:eastAsia="宋体" w:cs="宋体"/>
          <w:color w:val="auto"/>
          <w:sz w:val="32"/>
          <w:szCs w:val="32"/>
          <w:highlight w:val="none"/>
        </w:rPr>
      </w:pPr>
    </w:p>
    <w:p w14:paraId="70AEC00A">
      <w:pPr>
        <w:spacing w:line="360" w:lineRule="auto"/>
        <w:ind w:firstLine="1280" w:firstLineChars="400"/>
        <w:rPr>
          <w:rFonts w:hint="eastAsia" w:ascii="宋体" w:hAnsi="宋体" w:eastAsia="宋体" w:cs="宋体"/>
          <w:color w:val="auto"/>
          <w:sz w:val="32"/>
          <w:szCs w:val="32"/>
          <w:highlight w:val="none"/>
        </w:rPr>
      </w:pPr>
    </w:p>
    <w:p w14:paraId="30BEDC99">
      <w:pPr>
        <w:spacing w:line="360" w:lineRule="auto"/>
        <w:ind w:firstLine="1280" w:firstLineChars="400"/>
        <w:rPr>
          <w:rFonts w:hint="eastAsia" w:ascii="宋体" w:hAnsi="宋体" w:eastAsia="宋体" w:cs="宋体"/>
          <w:color w:val="auto"/>
          <w:sz w:val="32"/>
          <w:szCs w:val="32"/>
          <w:highlight w:val="none"/>
        </w:rPr>
      </w:pPr>
    </w:p>
    <w:p w14:paraId="0B080B04">
      <w:pPr>
        <w:spacing w:line="360" w:lineRule="auto"/>
        <w:ind w:firstLine="1280" w:firstLineChars="400"/>
        <w:rPr>
          <w:rFonts w:hint="eastAsia" w:ascii="宋体" w:hAnsi="宋体" w:eastAsia="宋体" w:cs="宋体"/>
          <w:color w:val="auto"/>
          <w:sz w:val="32"/>
          <w:szCs w:val="32"/>
          <w:highlight w:val="none"/>
        </w:rPr>
      </w:pPr>
    </w:p>
    <w:p w14:paraId="1E159EB3">
      <w:pPr>
        <w:spacing w:line="360" w:lineRule="auto"/>
        <w:ind w:firstLine="1280" w:firstLineChars="400"/>
        <w:rPr>
          <w:rFonts w:hint="eastAsia" w:ascii="宋体" w:hAnsi="宋体" w:eastAsia="宋体" w:cs="宋体"/>
          <w:color w:val="auto"/>
          <w:sz w:val="32"/>
          <w:szCs w:val="32"/>
          <w:highlight w:val="none"/>
        </w:rPr>
      </w:pPr>
    </w:p>
    <w:p w14:paraId="4299D240">
      <w:pPr>
        <w:spacing w:line="360" w:lineRule="auto"/>
        <w:ind w:firstLine="1280" w:firstLineChars="400"/>
        <w:rPr>
          <w:rFonts w:hint="eastAsia" w:ascii="宋体" w:hAnsi="宋体" w:eastAsia="宋体" w:cs="宋体"/>
          <w:color w:val="auto"/>
          <w:sz w:val="32"/>
          <w:szCs w:val="32"/>
          <w:highlight w:val="none"/>
        </w:rPr>
      </w:pPr>
    </w:p>
    <w:p w14:paraId="3AF3909D">
      <w:pPr>
        <w:spacing w:line="360" w:lineRule="auto"/>
        <w:ind w:firstLine="1280" w:firstLineChars="400"/>
        <w:rPr>
          <w:rFonts w:hint="eastAsia" w:ascii="宋体" w:hAnsi="宋体" w:eastAsia="宋体" w:cs="宋体"/>
          <w:color w:val="auto"/>
          <w:sz w:val="32"/>
          <w:szCs w:val="32"/>
          <w:highlight w:val="none"/>
        </w:rPr>
      </w:pPr>
    </w:p>
    <w:p w14:paraId="0544E803">
      <w:pPr>
        <w:spacing w:line="360" w:lineRule="auto"/>
        <w:ind w:firstLine="1280" w:firstLineChars="400"/>
        <w:rPr>
          <w:rFonts w:hint="eastAsia" w:ascii="宋体" w:hAnsi="宋体" w:eastAsia="宋体" w:cs="宋体"/>
          <w:color w:val="auto"/>
          <w:sz w:val="32"/>
          <w:szCs w:val="32"/>
          <w:highlight w:val="none"/>
        </w:rPr>
      </w:pPr>
    </w:p>
    <w:p w14:paraId="0E0CD9A2">
      <w:pPr>
        <w:spacing w:line="360" w:lineRule="auto"/>
        <w:ind w:firstLine="1280" w:firstLineChars="400"/>
        <w:rPr>
          <w:rFonts w:hint="eastAsia" w:ascii="宋体" w:hAnsi="宋体" w:eastAsia="宋体" w:cs="宋体"/>
          <w:color w:val="auto"/>
          <w:sz w:val="32"/>
          <w:szCs w:val="32"/>
          <w:highlight w:val="none"/>
        </w:rPr>
      </w:pPr>
    </w:p>
    <w:p w14:paraId="74E319F2">
      <w:pPr>
        <w:spacing w:line="360" w:lineRule="auto"/>
        <w:ind w:firstLine="1280" w:firstLineChars="400"/>
        <w:rPr>
          <w:rFonts w:hint="eastAsia" w:ascii="宋体" w:hAnsi="宋体" w:eastAsia="宋体" w:cs="宋体"/>
          <w:color w:val="auto"/>
          <w:sz w:val="32"/>
          <w:szCs w:val="32"/>
          <w:highlight w:val="none"/>
        </w:rPr>
      </w:pPr>
    </w:p>
    <w:p w14:paraId="6A6D2C49">
      <w:pPr>
        <w:spacing w:line="360" w:lineRule="auto"/>
        <w:ind w:firstLine="1280" w:firstLineChars="400"/>
        <w:rPr>
          <w:rFonts w:hint="eastAsia" w:ascii="宋体" w:hAnsi="宋体" w:eastAsia="宋体" w:cs="宋体"/>
          <w:color w:val="auto"/>
          <w:sz w:val="32"/>
          <w:szCs w:val="32"/>
          <w:highlight w:val="none"/>
        </w:rPr>
      </w:pPr>
    </w:p>
    <w:p w14:paraId="585BD3AD">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2"/>
        <w:tblW w:w="9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721"/>
      </w:tblGrid>
      <w:tr w14:paraId="01407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40BD3D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2AD67D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721" w:type="dxa"/>
            <w:noWrap w:val="0"/>
            <w:vAlign w:val="center"/>
          </w:tcPr>
          <w:p w14:paraId="589500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1682C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6F88B65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7612F58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721" w:type="dxa"/>
            <w:noWrap w:val="0"/>
            <w:vAlign w:val="center"/>
          </w:tcPr>
          <w:p w14:paraId="72A28FC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75A4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208B381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14:paraId="6D2CEC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721" w:type="dxa"/>
            <w:noWrap w:val="0"/>
            <w:vAlign w:val="top"/>
          </w:tcPr>
          <w:p w14:paraId="3438F75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0D4E9CE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2C590C8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14400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900" w:type="dxa"/>
            <w:noWrap w:val="0"/>
            <w:vAlign w:val="center"/>
          </w:tcPr>
          <w:p w14:paraId="6E97D9B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14:paraId="627F66E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721" w:type="dxa"/>
            <w:tcBorders>
              <w:bottom w:val="single" w:color="auto" w:sz="4" w:space="0"/>
            </w:tcBorders>
            <w:noWrap w:val="0"/>
            <w:vAlign w:val="top"/>
          </w:tcPr>
          <w:p w14:paraId="1DE602A1">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投标人为中小企业（含中型、小型、微型企业，下同）：</w:t>
            </w:r>
          </w:p>
          <w:p w14:paraId="75D831FA">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①投标保证金：按招标文件约定数额的50%交纳</w:t>
            </w:r>
          </w:p>
          <w:p w14:paraId="0DF9078C">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01D0FBBF">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5"/>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2840B647">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p>
          <w:p w14:paraId="47982585">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07226DE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789EA2DF">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%的扣除，扣除后的价格作为该投标人的评标价参与价格评分。</w:t>
            </w:r>
          </w:p>
          <w:p w14:paraId="069B375F">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161300B6">
            <w:pPr>
              <w:pStyle w:val="11"/>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5ECC3EDD">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6A1D8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0D78EEB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14:paraId="5F55B40B">
            <w:pPr>
              <w:pStyle w:val="9"/>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本项目对应的中小企业划分标准所属</w:t>
            </w:r>
            <w:r>
              <w:rPr>
                <w:rFonts w:hint="eastAsia"/>
                <w:color w:val="auto"/>
                <w:sz w:val="24"/>
                <w:szCs w:val="24"/>
                <w:highlight w:val="none"/>
                <w:u w:val="single"/>
                <w:lang w:eastAsia="zh-CN"/>
              </w:rPr>
              <w:t>工业</w:t>
            </w:r>
            <w:r>
              <w:rPr>
                <w:rFonts w:hint="eastAsia" w:eastAsia="宋体"/>
                <w:color w:val="auto"/>
                <w:sz w:val="24"/>
                <w:szCs w:val="24"/>
                <w:highlight w:val="none"/>
                <w:u w:val="single"/>
              </w:rPr>
              <w:t>行业。</w:t>
            </w:r>
          </w:p>
        </w:tc>
        <w:tc>
          <w:tcPr>
            <w:tcW w:w="6721" w:type="dxa"/>
            <w:tcBorders>
              <w:bottom w:val="single" w:color="auto" w:sz="4" w:space="0"/>
            </w:tcBorders>
            <w:noWrap w:val="0"/>
            <w:vAlign w:val="top"/>
          </w:tcPr>
          <w:p w14:paraId="48BF3FDF">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36218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3CE6E1B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3644F1D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721" w:type="dxa"/>
            <w:tcBorders>
              <w:bottom w:val="single" w:color="auto" w:sz="4" w:space="0"/>
            </w:tcBorders>
            <w:noWrap w:val="0"/>
            <w:vAlign w:val="top"/>
          </w:tcPr>
          <w:p w14:paraId="3462D9B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7999D75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0A137D1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03FCE0A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01AC8B5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45D4FA47">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3C8D46B1">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672A7D84">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5A799940">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38A716BF">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251E0CBA">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7E4EC18F">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3D42E39B">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0B12CE33">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52FD9EA4">
      <w:pPr>
        <w:pStyle w:val="6"/>
        <w:spacing w:after="0" w:line="360" w:lineRule="auto"/>
        <w:ind w:left="0"/>
        <w:rPr>
          <w:rFonts w:hint="eastAsia" w:ascii="宋体" w:hAnsi="宋体" w:eastAsia="宋体" w:cs="宋体"/>
          <w:b/>
          <w:bCs/>
          <w:color w:val="auto"/>
          <w:sz w:val="24"/>
          <w:szCs w:val="24"/>
          <w:highlight w:val="none"/>
        </w:rPr>
      </w:pPr>
    </w:p>
    <w:p w14:paraId="35473D6C">
      <w:pPr>
        <w:tabs>
          <w:tab w:val="left" w:pos="5130"/>
        </w:tabs>
        <w:spacing w:line="360" w:lineRule="auto"/>
        <w:ind w:firstLine="480" w:firstLineChars="200"/>
        <w:rPr>
          <w:rFonts w:hint="eastAsia" w:ascii="宋体" w:hAnsi="宋体" w:eastAsia="宋体" w:cs="宋体"/>
          <w:color w:val="auto"/>
          <w:sz w:val="24"/>
          <w:szCs w:val="24"/>
          <w:highlight w:val="none"/>
        </w:rPr>
      </w:pPr>
    </w:p>
    <w:p w14:paraId="4339102B">
      <w:pPr>
        <w:tabs>
          <w:tab w:val="left" w:pos="5130"/>
        </w:tabs>
        <w:spacing w:line="360" w:lineRule="auto"/>
        <w:ind w:firstLine="480" w:firstLineChars="200"/>
        <w:rPr>
          <w:rFonts w:hint="eastAsia" w:ascii="宋体" w:hAnsi="宋体" w:eastAsia="宋体" w:cs="宋体"/>
          <w:color w:val="auto"/>
          <w:sz w:val="24"/>
          <w:szCs w:val="24"/>
          <w:highlight w:val="none"/>
        </w:rPr>
      </w:pPr>
    </w:p>
    <w:p w14:paraId="3DC250C2">
      <w:pPr>
        <w:tabs>
          <w:tab w:val="left" w:pos="5130"/>
        </w:tabs>
        <w:spacing w:line="360" w:lineRule="auto"/>
        <w:ind w:firstLine="480" w:firstLineChars="200"/>
        <w:rPr>
          <w:rFonts w:hint="eastAsia" w:ascii="宋体" w:hAnsi="宋体" w:eastAsia="宋体" w:cs="宋体"/>
          <w:color w:val="auto"/>
          <w:sz w:val="24"/>
          <w:szCs w:val="24"/>
          <w:highlight w:val="none"/>
        </w:rPr>
      </w:pPr>
    </w:p>
    <w:p w14:paraId="5C27AD1D">
      <w:pPr>
        <w:tabs>
          <w:tab w:val="left" w:pos="5130"/>
        </w:tabs>
        <w:spacing w:line="360" w:lineRule="auto"/>
        <w:ind w:firstLine="480" w:firstLineChars="200"/>
        <w:rPr>
          <w:rFonts w:hint="eastAsia" w:ascii="宋体" w:hAnsi="宋体" w:eastAsia="宋体" w:cs="宋体"/>
          <w:color w:val="auto"/>
          <w:sz w:val="24"/>
          <w:szCs w:val="24"/>
          <w:highlight w:val="none"/>
        </w:rPr>
      </w:pPr>
    </w:p>
    <w:p w14:paraId="54F16B61">
      <w:pPr>
        <w:tabs>
          <w:tab w:val="left" w:pos="5130"/>
        </w:tabs>
        <w:spacing w:line="360" w:lineRule="auto"/>
        <w:ind w:firstLine="480" w:firstLineChars="200"/>
        <w:rPr>
          <w:rFonts w:hint="eastAsia" w:ascii="宋体" w:hAnsi="宋体" w:eastAsia="宋体" w:cs="宋体"/>
          <w:color w:val="auto"/>
          <w:sz w:val="24"/>
          <w:szCs w:val="24"/>
          <w:highlight w:val="none"/>
        </w:rPr>
      </w:pPr>
    </w:p>
    <w:p w14:paraId="12EC4CD9">
      <w:pPr>
        <w:tabs>
          <w:tab w:val="left" w:pos="5130"/>
        </w:tabs>
        <w:spacing w:line="360" w:lineRule="auto"/>
        <w:ind w:firstLine="480" w:firstLineChars="200"/>
        <w:rPr>
          <w:rFonts w:hint="eastAsia" w:ascii="宋体" w:hAnsi="宋体" w:eastAsia="宋体" w:cs="宋体"/>
          <w:color w:val="auto"/>
          <w:sz w:val="24"/>
          <w:szCs w:val="24"/>
          <w:highlight w:val="none"/>
        </w:rPr>
      </w:pPr>
    </w:p>
    <w:p w14:paraId="21BCCC18">
      <w:pPr>
        <w:tabs>
          <w:tab w:val="left" w:pos="5130"/>
        </w:tabs>
        <w:spacing w:line="360" w:lineRule="auto"/>
        <w:ind w:firstLine="480" w:firstLineChars="200"/>
        <w:rPr>
          <w:rFonts w:hint="eastAsia" w:ascii="宋体" w:hAnsi="宋体" w:eastAsia="宋体" w:cs="宋体"/>
          <w:color w:val="auto"/>
          <w:sz w:val="24"/>
          <w:szCs w:val="24"/>
          <w:highlight w:val="none"/>
        </w:rPr>
      </w:pPr>
    </w:p>
    <w:p w14:paraId="19FEF8E3">
      <w:pPr>
        <w:tabs>
          <w:tab w:val="left" w:pos="5130"/>
        </w:tabs>
        <w:spacing w:line="360" w:lineRule="auto"/>
        <w:ind w:firstLine="480" w:firstLineChars="200"/>
        <w:rPr>
          <w:rFonts w:hint="eastAsia" w:ascii="宋体" w:hAnsi="宋体" w:eastAsia="宋体" w:cs="宋体"/>
          <w:color w:val="auto"/>
          <w:sz w:val="24"/>
          <w:szCs w:val="24"/>
          <w:highlight w:val="none"/>
        </w:rPr>
      </w:pPr>
    </w:p>
    <w:p w14:paraId="5B628B5C">
      <w:pPr>
        <w:tabs>
          <w:tab w:val="left" w:pos="5130"/>
        </w:tabs>
        <w:spacing w:line="360" w:lineRule="auto"/>
        <w:ind w:firstLine="480" w:firstLineChars="200"/>
        <w:rPr>
          <w:rFonts w:hint="eastAsia" w:ascii="宋体" w:hAnsi="宋体" w:eastAsia="宋体" w:cs="宋体"/>
          <w:color w:val="auto"/>
          <w:sz w:val="24"/>
          <w:szCs w:val="24"/>
          <w:highlight w:val="none"/>
        </w:rPr>
      </w:pPr>
    </w:p>
    <w:p w14:paraId="7AAE3E24">
      <w:pPr>
        <w:tabs>
          <w:tab w:val="left" w:pos="5130"/>
        </w:tabs>
        <w:spacing w:line="360" w:lineRule="auto"/>
        <w:ind w:firstLine="480" w:firstLineChars="200"/>
        <w:rPr>
          <w:rFonts w:hint="eastAsia" w:ascii="宋体" w:hAnsi="宋体" w:eastAsia="宋体" w:cs="宋体"/>
          <w:color w:val="auto"/>
          <w:sz w:val="24"/>
          <w:szCs w:val="24"/>
          <w:highlight w:val="none"/>
        </w:rPr>
      </w:pPr>
    </w:p>
    <w:p w14:paraId="7967E8E7">
      <w:pPr>
        <w:tabs>
          <w:tab w:val="left" w:pos="5130"/>
        </w:tabs>
        <w:spacing w:line="360" w:lineRule="auto"/>
        <w:ind w:firstLine="480" w:firstLineChars="200"/>
        <w:rPr>
          <w:rFonts w:hint="eastAsia" w:ascii="宋体" w:hAnsi="宋体" w:eastAsia="宋体" w:cs="宋体"/>
          <w:color w:val="auto"/>
          <w:sz w:val="24"/>
          <w:szCs w:val="24"/>
          <w:highlight w:val="none"/>
        </w:rPr>
      </w:pPr>
    </w:p>
    <w:p w14:paraId="0EE3D690">
      <w:pPr>
        <w:tabs>
          <w:tab w:val="left" w:pos="5130"/>
        </w:tabs>
        <w:spacing w:line="360" w:lineRule="auto"/>
        <w:ind w:firstLine="480" w:firstLineChars="200"/>
        <w:rPr>
          <w:rFonts w:hint="eastAsia" w:ascii="宋体" w:hAnsi="宋体" w:eastAsia="宋体" w:cs="宋体"/>
          <w:color w:val="auto"/>
          <w:sz w:val="24"/>
          <w:szCs w:val="24"/>
          <w:highlight w:val="none"/>
        </w:rPr>
      </w:pPr>
    </w:p>
    <w:p w14:paraId="47491790">
      <w:pPr>
        <w:tabs>
          <w:tab w:val="left" w:pos="5130"/>
        </w:tabs>
        <w:spacing w:line="360" w:lineRule="auto"/>
        <w:ind w:firstLine="480" w:firstLineChars="200"/>
        <w:rPr>
          <w:rFonts w:hint="eastAsia" w:ascii="宋体" w:hAnsi="宋体" w:eastAsia="宋体" w:cs="宋体"/>
          <w:color w:val="auto"/>
          <w:sz w:val="24"/>
          <w:szCs w:val="24"/>
          <w:highlight w:val="none"/>
        </w:rPr>
      </w:pPr>
    </w:p>
    <w:p w14:paraId="4BCBD181">
      <w:pPr>
        <w:tabs>
          <w:tab w:val="left" w:pos="5130"/>
        </w:tabs>
        <w:spacing w:line="360" w:lineRule="auto"/>
        <w:ind w:firstLine="480" w:firstLineChars="200"/>
        <w:rPr>
          <w:rFonts w:hint="eastAsia" w:ascii="宋体" w:hAnsi="宋体" w:eastAsia="宋体" w:cs="宋体"/>
          <w:color w:val="auto"/>
          <w:sz w:val="24"/>
          <w:szCs w:val="24"/>
          <w:highlight w:val="none"/>
        </w:rPr>
      </w:pPr>
    </w:p>
    <w:p w14:paraId="1F67AF97">
      <w:pPr>
        <w:tabs>
          <w:tab w:val="left" w:pos="5130"/>
        </w:tabs>
        <w:spacing w:line="360" w:lineRule="auto"/>
        <w:ind w:firstLine="480" w:firstLineChars="200"/>
        <w:rPr>
          <w:rFonts w:hint="eastAsia" w:ascii="宋体" w:hAnsi="宋体" w:eastAsia="宋体" w:cs="宋体"/>
          <w:color w:val="auto"/>
          <w:sz w:val="24"/>
          <w:szCs w:val="24"/>
          <w:highlight w:val="none"/>
        </w:rPr>
      </w:pPr>
    </w:p>
    <w:p w14:paraId="5CA05E1B">
      <w:pPr>
        <w:tabs>
          <w:tab w:val="left" w:pos="5130"/>
        </w:tabs>
        <w:spacing w:line="360" w:lineRule="auto"/>
        <w:rPr>
          <w:rFonts w:hint="eastAsia" w:ascii="宋体" w:hAnsi="宋体" w:eastAsia="宋体" w:cs="宋体"/>
          <w:color w:val="auto"/>
          <w:sz w:val="24"/>
          <w:szCs w:val="24"/>
          <w:highlight w:val="none"/>
        </w:rPr>
      </w:pPr>
    </w:p>
    <w:p w14:paraId="7F9E98DB">
      <w:pPr>
        <w:tabs>
          <w:tab w:val="left" w:pos="5130"/>
        </w:tabs>
        <w:spacing w:line="360" w:lineRule="auto"/>
        <w:rPr>
          <w:rFonts w:hint="eastAsia" w:ascii="宋体" w:hAnsi="宋体" w:eastAsia="宋体" w:cs="宋体"/>
          <w:color w:val="auto"/>
          <w:sz w:val="24"/>
          <w:szCs w:val="24"/>
          <w:highlight w:val="none"/>
        </w:rPr>
      </w:pPr>
    </w:p>
    <w:p w14:paraId="66C6ECBB">
      <w:pPr>
        <w:tabs>
          <w:tab w:val="left" w:pos="5130"/>
        </w:tabs>
        <w:spacing w:line="360" w:lineRule="auto"/>
        <w:rPr>
          <w:rFonts w:hint="eastAsia" w:ascii="宋体" w:hAnsi="宋体" w:eastAsia="宋体" w:cs="宋体"/>
          <w:color w:val="auto"/>
          <w:sz w:val="24"/>
          <w:szCs w:val="24"/>
          <w:highlight w:val="none"/>
        </w:rPr>
      </w:pPr>
    </w:p>
    <w:p w14:paraId="3ED6E57D">
      <w:pPr>
        <w:tabs>
          <w:tab w:val="left" w:pos="5130"/>
        </w:tabs>
        <w:spacing w:line="360" w:lineRule="auto"/>
        <w:rPr>
          <w:rFonts w:hint="eastAsia" w:ascii="宋体" w:hAnsi="宋体" w:eastAsia="宋体" w:cs="宋体"/>
          <w:color w:val="auto"/>
          <w:sz w:val="24"/>
          <w:szCs w:val="24"/>
          <w:highlight w:val="none"/>
        </w:rPr>
      </w:pPr>
    </w:p>
    <w:p w14:paraId="7BC62A25">
      <w:pPr>
        <w:tabs>
          <w:tab w:val="left" w:pos="5130"/>
        </w:tabs>
        <w:spacing w:line="360" w:lineRule="auto"/>
        <w:rPr>
          <w:rFonts w:hint="eastAsia" w:ascii="宋体" w:hAnsi="宋体" w:eastAsia="宋体" w:cs="宋体"/>
          <w:color w:val="auto"/>
          <w:sz w:val="24"/>
          <w:szCs w:val="24"/>
          <w:highlight w:val="none"/>
        </w:rPr>
      </w:pPr>
    </w:p>
    <w:p w14:paraId="08D949BA">
      <w:pPr>
        <w:adjustRightInd w:val="0"/>
        <w:snapToGrid w:val="0"/>
        <w:spacing w:line="360" w:lineRule="auto"/>
        <w:jc w:val="left"/>
        <w:rPr>
          <w:rFonts w:hint="eastAsia" w:ascii="宋体" w:hAnsi="宋体" w:cs="Times New Roman"/>
          <w:b/>
          <w:color w:val="auto"/>
          <w:sz w:val="28"/>
          <w:szCs w:val="28"/>
          <w:highlight w:val="none"/>
          <w:lang w:val="en-US" w:eastAsia="zh-CN"/>
        </w:rPr>
      </w:pPr>
      <w:r>
        <w:rPr>
          <w:rFonts w:hint="eastAsia" w:ascii="宋体" w:hAnsi="宋体" w:cs="Times New Roman"/>
          <w:b/>
          <w:color w:val="auto"/>
          <w:sz w:val="28"/>
          <w:szCs w:val="28"/>
          <w:highlight w:val="none"/>
          <w:lang w:val="en-US" w:eastAsia="zh-CN"/>
        </w:rPr>
        <w:t>一、招标要求</w:t>
      </w:r>
    </w:p>
    <w:tbl>
      <w:tblPr>
        <w:tblStyle w:val="12"/>
        <w:tblW w:w="980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30"/>
        <w:gridCol w:w="1630"/>
        <w:gridCol w:w="6542"/>
      </w:tblGrid>
      <w:tr w14:paraId="6A7A6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94F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品</w:t>
            </w:r>
            <w:r>
              <w:rPr>
                <w:rFonts w:hint="eastAsia" w:ascii="宋体" w:hAnsi="宋体" w:eastAsia="宋体" w:cs="宋体"/>
                <w:b/>
                <w:bCs w:val="0"/>
                <w:color w:val="auto"/>
                <w:kern w:val="2"/>
                <w:sz w:val="24"/>
                <w:szCs w:val="24"/>
                <w:highlight w:val="none"/>
                <w:lang w:val="en-US" w:eastAsia="zh-CN" w:bidi="ar"/>
              </w:rPr>
              <w:t>目</w:t>
            </w: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号</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7B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货物名称</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CA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参数要求</w:t>
            </w:r>
          </w:p>
        </w:tc>
      </w:tr>
      <w:tr w14:paraId="275C0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3306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98F0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A4幅面黑白单打印激光打印机</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A66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打印速度(黑白,标准,A4)≥18ppm,典型能源消耗（kW·h）≤1.7，</w:t>
            </w:r>
            <w:r>
              <w:rPr>
                <w:rStyle w:val="19"/>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tc>
      </w:tr>
      <w:tr w14:paraId="6FA01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EACE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BCB3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47E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标配内存≥32MB</w:t>
            </w:r>
          </w:p>
        </w:tc>
      </w:tr>
      <w:tr w14:paraId="39F7D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5E24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0359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344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14:paraId="3C2C5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127E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B35C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FAC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首页打印时间（黑白,就绪,A4）≤10秒</w:t>
            </w:r>
          </w:p>
        </w:tc>
      </w:tr>
      <w:tr w14:paraId="3925B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D068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4B13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73E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31631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2123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FF9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3E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标配输入纸盒容量≥150页</w:t>
            </w:r>
          </w:p>
        </w:tc>
      </w:tr>
      <w:tr w14:paraId="19622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79B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3AB2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4ED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14:paraId="0997F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B44C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17CE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3A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月打印负荷量≥5000页</w:t>
            </w:r>
          </w:p>
        </w:tc>
      </w:tr>
      <w:tr w14:paraId="4FC1B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726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91E4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F7C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4D5FB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5" w:hRule="atLeast"/>
        </w:trPr>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7E04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BF86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A4幅面黑白双面网络单打印激光打印机</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52B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打印速度(黑白,标准,A4)≥28PPM;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典型能源消耗（kW·h）≤1.8，适配符合安全可靠测评要求的计算机平台及符合安全可靠测评要求的操作系统</w:t>
            </w:r>
          </w:p>
        </w:tc>
      </w:tr>
      <w:tr w14:paraId="7682D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3710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885B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BC1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标配内存≥64MB</w:t>
            </w:r>
          </w:p>
        </w:tc>
      </w:tr>
      <w:tr w14:paraId="7ABC3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151CA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333A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C70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打印分辨率（不含图像增强模式/精细模式）≥600x600dpi</w:t>
            </w:r>
          </w:p>
        </w:tc>
      </w:tr>
      <w:tr w14:paraId="3E84A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A0B3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E9B1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6B5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首页输出时间（黑白,就绪,A4）≤10秒</w:t>
            </w:r>
          </w:p>
        </w:tc>
      </w:tr>
      <w:tr w14:paraId="1C42D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B41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F76F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448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7D924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9FBC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351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7A0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标配输入纸盒容量≥150页</w:t>
            </w:r>
          </w:p>
        </w:tc>
      </w:tr>
      <w:tr w14:paraId="0E3DE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7D64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DF82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964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14:paraId="62410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294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56DA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5BD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月打印负荷量≥15000页</w:t>
            </w:r>
          </w:p>
        </w:tc>
      </w:tr>
      <w:tr w14:paraId="644E1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9AF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7B32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090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22A05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7771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00C3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A4幅面黑白双面网络单打印激光打印机</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5E3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打印速度(黑白,标准,A4)≥38PPM;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典型能源消耗（kW·h）≤2.7，适配符合安全可靠测评要求的计算机平台及符合安全可靠测评要求的操作系统</w:t>
            </w:r>
          </w:p>
        </w:tc>
      </w:tr>
      <w:tr w14:paraId="3BAF0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CABE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ECC3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94E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标配内存≥256MB</w:t>
            </w:r>
          </w:p>
        </w:tc>
      </w:tr>
      <w:tr w14:paraId="6DCEC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6F7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D3BB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42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打印分辨率（不含图像增强模式/精细模式）≥600x600dpi</w:t>
            </w:r>
          </w:p>
        </w:tc>
      </w:tr>
      <w:tr w14:paraId="66A8D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9F5C6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DBE4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EFE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首页输出时间（黑白,就绪,A4）≤8秒</w:t>
            </w:r>
          </w:p>
        </w:tc>
      </w:tr>
      <w:tr w14:paraId="5A83A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EE51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225A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F94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4A864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9580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ACF5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7E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标配输入纸盒容量≥250页+50页</w:t>
            </w:r>
          </w:p>
        </w:tc>
      </w:tr>
      <w:tr w14:paraId="1D07D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05BE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E5CD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268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标配输出纸盒容量≥150页</w:t>
            </w:r>
          </w:p>
        </w:tc>
      </w:tr>
      <w:tr w14:paraId="78704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020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E2B9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170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14:paraId="3889C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1FC8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99D6A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0F6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76E74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9" w:hRule="atLeast"/>
        </w:trPr>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8CCE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57C0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A4幅面彩色双面网络单打印激光打印机</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6FE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打印速度(黑白,标准,A4)≥21ppm，打印速度(彩色,标准,A4)≥21ppm；典型能源消耗（kW·h）≤1.5，</w:t>
            </w:r>
            <w:r>
              <w:rPr>
                <w:rStyle w:val="19"/>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tc>
      </w:tr>
      <w:tr w14:paraId="6A184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9D0CE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BBDF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128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标配内存≥128MB</w:t>
            </w:r>
          </w:p>
        </w:tc>
      </w:tr>
      <w:tr w14:paraId="78F26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E3B74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4A68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995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14:paraId="03ECA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3B242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2231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B19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首页打印时间（黑白,就绪,A4）≤14秒；首页打印时间（（彩色,就绪,A4）≤14秒</w:t>
            </w:r>
          </w:p>
        </w:tc>
      </w:tr>
      <w:tr w14:paraId="12532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B453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0046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875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461DC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8EF5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13AC9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DF9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w:t>
            </w:r>
          </w:p>
        </w:tc>
      </w:tr>
      <w:tr w14:paraId="12440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B872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E11F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4D8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14:paraId="70C63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87CE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8A79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C47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月打印负荷量≥30000页</w:t>
            </w:r>
          </w:p>
        </w:tc>
      </w:tr>
      <w:tr w14:paraId="6A7CE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CE3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614A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FC5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2BE9C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9" w:hRule="atLeast"/>
        </w:trPr>
        <w:tc>
          <w:tcPr>
            <w:tcW w:w="1630" w:type="dxa"/>
            <w:vMerge w:val="restart"/>
            <w:tcBorders>
              <w:top w:val="single" w:color="000000" w:sz="4" w:space="0"/>
              <w:left w:val="single" w:color="000000" w:sz="4" w:space="0"/>
              <w:bottom w:val="nil"/>
              <w:right w:val="single" w:color="000000" w:sz="4" w:space="0"/>
            </w:tcBorders>
            <w:shd w:val="clear" w:color="auto" w:fill="auto"/>
            <w:vAlign w:val="center"/>
          </w:tcPr>
          <w:p w14:paraId="48BFC6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432E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A4幅面彩色双面网络单打印激光打印机</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D25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打印速度(黑白,就绪,A4)≥33ppm，打印速度(彩色,标准,A4)≥33ppm；典型能源消耗（kW·h）≤3.5，</w:t>
            </w:r>
            <w:r>
              <w:rPr>
                <w:rStyle w:val="19"/>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tc>
      </w:tr>
      <w:tr w14:paraId="638C0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14:paraId="0A18AC8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2EEB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EB7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标配内存≥512MB</w:t>
            </w:r>
          </w:p>
        </w:tc>
      </w:tr>
      <w:tr w14:paraId="4D203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14:paraId="6E2CD38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DF8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0BC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14:paraId="42D53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14:paraId="286A76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CCA1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EB4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首页打印时间（黑白,就绪,A4）≤14秒；首页打印时间（彩色,就绪,A4）≤14秒</w:t>
            </w:r>
          </w:p>
        </w:tc>
      </w:tr>
      <w:tr w14:paraId="6CDF8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14:paraId="00A116C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626A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D78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01A12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14:paraId="26C979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5859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7A0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w:t>
            </w:r>
          </w:p>
        </w:tc>
      </w:tr>
      <w:tr w14:paraId="2E967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14:paraId="0BCCAE5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AC70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56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14:paraId="7821E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14:paraId="3E7973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464E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134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14:paraId="11368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14:paraId="4E662B8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FE93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24F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139B8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03E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9A92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A3幅面黑白网络双面单打印激光打印机</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83E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打印速度(黑白,标准,A4)≥30ppm；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典型能源消耗（kW·h）≤4.5，适配符合安全可靠测评要求的计算机平台及符合安全可靠测评要求的操作系统</w:t>
            </w:r>
          </w:p>
        </w:tc>
      </w:tr>
      <w:tr w14:paraId="5DE72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EE6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C0C7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AB3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标配内存≥128MB</w:t>
            </w:r>
          </w:p>
        </w:tc>
      </w:tr>
      <w:tr w14:paraId="18564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2D5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7BB1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327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14:paraId="218E2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EB7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498A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D3D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首页打印时间（黑白,就绪,A4）≤11秒</w:t>
            </w:r>
          </w:p>
        </w:tc>
      </w:tr>
      <w:tr w14:paraId="67AB1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82DC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3409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08E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6A38E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735C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C6A22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BCC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标配输入纸盒容量≥250页＋100页</w:t>
            </w:r>
          </w:p>
        </w:tc>
      </w:tr>
      <w:tr w14:paraId="09BE1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24E7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4703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368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标配输出纸盒容量≥250页</w:t>
            </w:r>
          </w:p>
        </w:tc>
      </w:tr>
      <w:tr w14:paraId="7A3FD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956D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C34A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00B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14:paraId="21F9B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6DF9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DE0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444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40F8A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9"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E3C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2999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A3幅面彩色网络双面单打印激光打印机</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524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打印速度(黑白,标准,A4)≥20ppm，打印速度(彩色,标准,A4)≥20ppm；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典型能源消耗（kW·h）≤4.5，适配符合安全可靠测评要求的计算机平台及符合安全可靠测评要求的操作系统</w:t>
            </w:r>
          </w:p>
        </w:tc>
      </w:tr>
      <w:tr w14:paraId="29A79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DE79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8D8B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2D7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标配内存≥128MB</w:t>
            </w:r>
          </w:p>
        </w:tc>
      </w:tr>
      <w:tr w14:paraId="2E368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BD6B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4634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A1F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打印分辨率（不含图像增强模式/精细模式）：≥600x600dpi</w:t>
            </w:r>
          </w:p>
        </w:tc>
      </w:tr>
      <w:tr w14:paraId="52FDD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31F2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434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B1B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首页打印时间（黑白,就绪,A4）≤18秒；首页打印时间（彩色,就绪,A4）≤18秒</w:t>
            </w:r>
          </w:p>
        </w:tc>
      </w:tr>
      <w:tr w14:paraId="11D35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8BCB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6D3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A8A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4C9B7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CBAB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12F1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ED3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标配输入纸盒容量≥250页+100页</w:t>
            </w:r>
          </w:p>
        </w:tc>
      </w:tr>
      <w:tr w14:paraId="42A03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9BB5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D77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BC6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标配输出纸盒容量≥250页</w:t>
            </w:r>
          </w:p>
        </w:tc>
      </w:tr>
      <w:tr w14:paraId="76297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8A7F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0EB3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21C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14:paraId="3EDE0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4433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229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B77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bl>
    <w:p w14:paraId="0F9C270C">
      <w:pPr>
        <w:spacing w:line="360" w:lineRule="auto"/>
        <w:jc w:val="left"/>
        <w:rPr>
          <w:rFonts w:ascii="宋体" w:hAnsi="宋体"/>
          <w:b w:val="0"/>
          <w:bCs/>
          <w:color w:val="auto"/>
          <w:sz w:val="28"/>
          <w:szCs w:val="28"/>
          <w:highlight w:val="none"/>
        </w:rPr>
      </w:pPr>
      <w:r>
        <w:rPr>
          <w:rFonts w:hint="eastAsia" w:ascii="宋体" w:hAnsi="宋体" w:cs="Times New Roman"/>
          <w:b w:val="0"/>
          <w:bCs/>
          <w:color w:val="auto"/>
          <w:sz w:val="28"/>
          <w:szCs w:val="28"/>
          <w:highlight w:val="none"/>
        </w:rPr>
        <w:t>备注：</w:t>
      </w:r>
    </w:p>
    <w:p w14:paraId="15939989">
      <w:pPr>
        <w:spacing w:line="360" w:lineRule="auto"/>
        <w:ind w:firstLine="482" w:firstLineChars="200"/>
        <w:jc w:val="left"/>
        <w:rPr>
          <w:rFonts w:ascii="宋体" w:hAnsi="宋体"/>
          <w:b/>
          <w:bCs w:val="0"/>
          <w:color w:val="auto"/>
          <w:sz w:val="24"/>
          <w:szCs w:val="24"/>
          <w:highlight w:val="none"/>
        </w:rPr>
      </w:pPr>
      <w:r>
        <w:rPr>
          <w:rFonts w:ascii="宋体" w:hAnsi="宋体" w:cs="Times New Roman"/>
          <w:b/>
          <w:bCs w:val="0"/>
          <w:color w:val="auto"/>
          <w:sz w:val="24"/>
          <w:szCs w:val="24"/>
          <w:highlight w:val="none"/>
        </w:rPr>
        <w:t>*1、投标人投标的激光打印机产品必须为同一品牌产品，否则将导致废标。</w:t>
      </w:r>
    </w:p>
    <w:p w14:paraId="5039E299">
      <w:pPr>
        <w:spacing w:line="360" w:lineRule="auto"/>
        <w:ind w:firstLine="480" w:firstLineChars="200"/>
        <w:jc w:val="left"/>
        <w:rPr>
          <w:rFonts w:ascii="宋体" w:hAnsi="宋体"/>
          <w:b w:val="0"/>
          <w:bCs/>
          <w:color w:val="auto"/>
          <w:sz w:val="24"/>
          <w:szCs w:val="24"/>
          <w:highlight w:val="none"/>
        </w:rPr>
      </w:pPr>
      <w:r>
        <w:rPr>
          <w:rFonts w:ascii="宋体" w:hAnsi="宋体" w:cs="Times New Roman"/>
          <w:b w:val="0"/>
          <w:bCs/>
          <w:color w:val="auto"/>
          <w:sz w:val="24"/>
          <w:szCs w:val="24"/>
          <w:highlight w:val="none"/>
        </w:rPr>
        <w:t>2、投标人须在投标文件中</w:t>
      </w:r>
      <w:r>
        <w:rPr>
          <w:rFonts w:hint="eastAsia" w:ascii="宋体" w:hAnsi="宋体" w:cs="Times New Roman"/>
          <w:b w:val="0"/>
          <w:bCs/>
          <w:color w:val="auto"/>
          <w:sz w:val="24"/>
          <w:szCs w:val="24"/>
          <w:highlight w:val="none"/>
        </w:rPr>
        <w:t>作出书面承诺：采购单位可调整各规格产品的实际供货数量；采购单位有权向厦门市政府机关事业单位和福建省内其他终端用户进行供货，投标人须提供相应的安装及售后服务保障，所需费用（不含福建省其他地市二次配送费用）已包含在总报价中。投标人承诺合同期内采购单位可增加各型号的采购数量，仍可按不高于中标价格执行。</w:t>
      </w:r>
    </w:p>
    <w:p w14:paraId="4822D088">
      <w:pPr>
        <w:adjustRightInd w:val="0"/>
        <w:snapToGrid w:val="0"/>
        <w:spacing w:line="360" w:lineRule="auto"/>
        <w:jc w:val="left"/>
        <w:rPr>
          <w:rFonts w:hint="eastAsia" w:ascii="宋体" w:hAnsi="宋体" w:cs="Times New Roman"/>
          <w:b/>
          <w:color w:val="auto"/>
          <w:sz w:val="28"/>
          <w:szCs w:val="28"/>
          <w:highlight w:val="none"/>
          <w:lang w:val="en-US" w:eastAsia="zh-CN"/>
        </w:rPr>
      </w:pPr>
      <w:r>
        <w:rPr>
          <w:rFonts w:hint="eastAsia" w:ascii="宋体" w:hAnsi="宋体" w:cs="Times New Roman"/>
          <w:b/>
          <w:color w:val="auto"/>
          <w:sz w:val="28"/>
          <w:szCs w:val="28"/>
          <w:highlight w:val="none"/>
          <w:lang w:val="en-US" w:eastAsia="zh-CN"/>
        </w:rPr>
        <w:t>二、售后服务要求</w:t>
      </w:r>
    </w:p>
    <w:p w14:paraId="1956F235">
      <w:pPr>
        <w:spacing w:line="360" w:lineRule="auto"/>
        <w:ind w:firstLine="482" w:firstLineChars="200"/>
        <w:rPr>
          <w:rFonts w:ascii="宋体" w:hAnsi="宋体" w:cs="宋体"/>
          <w:b/>
          <w:bCs w:val="0"/>
          <w:color w:val="auto"/>
          <w:sz w:val="24"/>
          <w:szCs w:val="24"/>
          <w:highlight w:val="none"/>
        </w:rPr>
      </w:pPr>
      <w:r>
        <w:rPr>
          <w:rFonts w:ascii="宋体" w:hAnsi="宋体" w:cs="Times New Roman"/>
          <w:b/>
          <w:bCs w:val="0"/>
          <w:color w:val="auto"/>
          <w:sz w:val="24"/>
          <w:szCs w:val="24"/>
          <w:highlight w:val="none"/>
        </w:rPr>
        <w:t>*1、投标人承诺设备</w:t>
      </w:r>
      <w:r>
        <w:rPr>
          <w:rFonts w:hint="eastAsia" w:ascii="宋体" w:hAnsi="宋体" w:cs="Times New Roman"/>
          <w:b/>
          <w:bCs w:val="0"/>
          <w:color w:val="auto"/>
          <w:sz w:val="24"/>
          <w:szCs w:val="24"/>
          <w:highlight w:val="none"/>
        </w:rPr>
        <w:t>自最终验收合格之日起至少一年免费上门保修。</w:t>
      </w:r>
      <w:r>
        <w:rPr>
          <w:rFonts w:hint="eastAsia" w:ascii="宋体" w:hAnsi="宋体" w:cs="宋体"/>
          <w:b/>
          <w:bCs w:val="0"/>
          <w:color w:val="auto"/>
          <w:sz w:val="24"/>
          <w:szCs w:val="24"/>
          <w:highlight w:val="none"/>
        </w:rPr>
        <w:t>期间中标供应商应提供一切免费维修服务和免费更换零配件。同时投标人保证</w:t>
      </w:r>
      <w:r>
        <w:rPr>
          <w:rFonts w:hint="eastAsia" w:ascii="宋体" w:hAnsi="宋体" w:eastAsia="宋体" w:cs="宋体"/>
          <w:b/>
          <w:bCs w:val="0"/>
          <w:color w:val="auto"/>
          <w:sz w:val="24"/>
          <w:szCs w:val="24"/>
          <w:highlight w:val="none"/>
        </w:rPr>
        <w:t>保修年限不低于合同货物中品牌型号的官网标准。</w:t>
      </w:r>
    </w:p>
    <w:p w14:paraId="4754CFFA">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*2、投标人应在投标文件中提供具体的售后服务承诺条款。</w:t>
      </w:r>
    </w:p>
    <w:p w14:paraId="283E27B7">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*3、设备故障若在约定时间内无法修复的，中标供应商应先提供备用机</w:t>
      </w:r>
      <w:r>
        <w:rPr>
          <w:rFonts w:hint="eastAsia" w:ascii="宋体" w:hAnsi="宋体" w:cs="Times New Roman"/>
          <w:b/>
          <w:bCs w:val="0"/>
          <w:color w:val="auto"/>
          <w:sz w:val="24"/>
          <w:szCs w:val="24"/>
          <w:highlight w:val="none"/>
        </w:rPr>
        <w:t>供最终用户使用，直至设备修复；如中标供应商所提供的备用机与故障机的型号不同，则需免费提供耗材。如果中标供应商未在承诺的时间内将设备修复或者提供备用机的则中标供应商应按人民币：</w:t>
      </w:r>
      <w:r>
        <w:rPr>
          <w:rFonts w:ascii="宋体" w:hAnsi="宋体" w:cs="Times New Roman"/>
          <w:b/>
          <w:bCs w:val="0"/>
          <w:color w:val="auto"/>
          <w:sz w:val="24"/>
          <w:szCs w:val="24"/>
          <w:highlight w:val="none"/>
        </w:rPr>
        <w:t>200.00元/台/天向采购单位支付逾期违约金。</w:t>
      </w:r>
    </w:p>
    <w:p w14:paraId="4FD39BAB">
      <w:pPr>
        <w:adjustRightInd w:val="0"/>
        <w:snapToGrid w:val="0"/>
        <w:spacing w:line="360" w:lineRule="auto"/>
        <w:jc w:val="left"/>
        <w:rPr>
          <w:rFonts w:ascii="宋体" w:hAnsi="宋体"/>
          <w:b/>
          <w:color w:val="auto"/>
          <w:sz w:val="28"/>
          <w:szCs w:val="28"/>
          <w:highlight w:val="none"/>
        </w:rPr>
      </w:pPr>
      <w:r>
        <w:rPr>
          <w:rFonts w:hint="eastAsia" w:ascii="宋体" w:hAnsi="宋体" w:cs="Times New Roman"/>
          <w:b/>
          <w:color w:val="auto"/>
          <w:sz w:val="28"/>
          <w:szCs w:val="28"/>
          <w:highlight w:val="none"/>
          <w:lang w:val="en-US" w:eastAsia="zh-CN"/>
        </w:rPr>
        <w:t>三、</w:t>
      </w:r>
      <w:r>
        <w:rPr>
          <w:rFonts w:hint="eastAsia" w:ascii="宋体" w:hAnsi="宋体" w:cs="Times New Roman"/>
          <w:b/>
          <w:color w:val="auto"/>
          <w:sz w:val="28"/>
          <w:szCs w:val="28"/>
          <w:highlight w:val="none"/>
        </w:rPr>
        <w:t>投标要求</w:t>
      </w:r>
    </w:p>
    <w:p w14:paraId="31A6D3D6">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*1、投标人须以人民币报价，总报价为投标设备</w:t>
      </w:r>
      <w:r>
        <w:rPr>
          <w:rFonts w:hint="eastAsia" w:ascii="宋体" w:hAnsi="宋体" w:cs="Times New Roman"/>
          <w:b/>
          <w:bCs w:val="0"/>
          <w:color w:val="auto"/>
          <w:sz w:val="24"/>
          <w:szCs w:val="24"/>
          <w:highlight w:val="none"/>
        </w:rPr>
        <w:t>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总报价中），报价方式为总包价。</w:t>
      </w:r>
    </w:p>
    <w:p w14:paraId="7AF58D39">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*2、投标人必须列出采购货物一览表中品目号设备的单价及总价。</w:t>
      </w:r>
    </w:p>
    <w:p w14:paraId="2AC5F21A">
      <w:pPr>
        <w:keepNext w:val="0"/>
        <w:keepLines w:val="0"/>
        <w:widowControl w:val="0"/>
        <w:suppressLineNumbers w:val="0"/>
        <w:spacing w:before="0" w:beforeAutospacing="0" w:after="0" w:afterAutospacing="0" w:line="360" w:lineRule="auto"/>
        <w:ind w:left="0" w:right="0" w:firstLine="482" w:firstLineChars="200"/>
        <w:jc w:val="both"/>
        <w:rPr>
          <w:rFonts w:ascii="宋体" w:hAnsi="宋体"/>
          <w:b/>
          <w:bCs w:val="0"/>
          <w:color w:val="auto"/>
          <w:sz w:val="24"/>
          <w:szCs w:val="24"/>
          <w:highlight w:val="none"/>
        </w:rPr>
      </w:pPr>
      <w:r>
        <w:rPr>
          <w:rFonts w:ascii="宋体" w:hAnsi="宋体" w:cs="Times New Roman"/>
          <w:b/>
          <w:bCs w:val="0"/>
          <w:color w:val="auto"/>
          <w:sz w:val="24"/>
          <w:szCs w:val="24"/>
          <w:highlight w:val="none"/>
        </w:rPr>
        <w:t>*3、本项目的采购预算</w:t>
      </w:r>
      <w:r>
        <w:rPr>
          <w:rFonts w:hint="eastAsia" w:ascii="宋体" w:hAnsi="宋体" w:cs="Times New Roman"/>
          <w:b/>
          <w:bCs w:val="0"/>
          <w:color w:val="auto"/>
          <w:sz w:val="24"/>
          <w:szCs w:val="24"/>
          <w:highlight w:val="none"/>
        </w:rPr>
        <w:t>为人民币</w:t>
      </w:r>
      <w:r>
        <w:rPr>
          <w:rFonts w:hint="eastAsia" w:ascii="宋体" w:hAnsi="宋体" w:cs="Times New Roman"/>
          <w:b/>
          <w:bCs w:val="0"/>
          <w:color w:val="auto"/>
          <w:sz w:val="24"/>
          <w:szCs w:val="24"/>
          <w:highlight w:val="none"/>
          <w:lang w:val="en-US" w:eastAsia="zh-CN"/>
        </w:rPr>
        <w:t>1188</w:t>
      </w:r>
      <w:r>
        <w:rPr>
          <w:rFonts w:hint="eastAsia" w:ascii="宋体" w:hAnsi="宋体" w:cs="Times New Roman"/>
          <w:b/>
          <w:bCs w:val="0"/>
          <w:color w:val="auto"/>
          <w:sz w:val="24"/>
          <w:szCs w:val="24"/>
          <w:highlight w:val="none"/>
        </w:rPr>
        <w:t>万元，各品目号也设置</w:t>
      </w:r>
      <w:r>
        <w:rPr>
          <w:rFonts w:hint="default" w:ascii="宋体" w:hAnsi="宋体" w:cs="Times New Roman"/>
          <w:b/>
          <w:bCs w:val="0"/>
          <w:color w:val="auto"/>
          <w:sz w:val="24"/>
          <w:szCs w:val="24"/>
          <w:highlight w:val="none"/>
        </w:rPr>
        <w:t>采购预算</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1-1为人民币1,100元/台；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1-2为人民币1,800元/台；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1-3为人民币2,900元/台；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1-4为人民币3,500元/台；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1-5为人民币7,000元/台；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1-6为人民币10,000元/台；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1-7为人民币12,000元/台）</w:t>
      </w:r>
      <w:r>
        <w:rPr>
          <w:rFonts w:hint="eastAsia" w:ascii="宋体" w:hAnsi="宋体" w:cs="Times New Roman"/>
          <w:b/>
          <w:bCs w:val="0"/>
          <w:color w:val="auto"/>
          <w:sz w:val="24"/>
          <w:szCs w:val="24"/>
          <w:highlight w:val="none"/>
        </w:rPr>
        <w:t>，投标人的总报价和各品目号的报价均不得超过</w:t>
      </w:r>
      <w:r>
        <w:rPr>
          <w:rFonts w:hint="default" w:ascii="宋体" w:hAnsi="宋体" w:cs="Times New Roman"/>
          <w:b/>
          <w:bCs w:val="0"/>
          <w:color w:val="auto"/>
          <w:sz w:val="24"/>
          <w:szCs w:val="24"/>
          <w:highlight w:val="none"/>
        </w:rPr>
        <w:t>采购预算</w:t>
      </w:r>
      <w:r>
        <w:rPr>
          <w:rFonts w:hint="eastAsia" w:ascii="宋体" w:hAnsi="宋体" w:cs="Times New Roman"/>
          <w:b/>
          <w:bCs w:val="0"/>
          <w:color w:val="auto"/>
          <w:sz w:val="24"/>
          <w:szCs w:val="24"/>
          <w:highlight w:val="none"/>
        </w:rPr>
        <w:t>，否则作废标处理。</w:t>
      </w:r>
    </w:p>
    <w:p w14:paraId="19A10A27">
      <w:pPr>
        <w:spacing w:line="360" w:lineRule="auto"/>
        <w:ind w:firstLine="482" w:firstLineChars="200"/>
        <w:rPr>
          <w:rFonts w:ascii="宋体" w:hAnsi="宋体" w:cs="宋体"/>
          <w:b/>
          <w:bCs w:val="0"/>
          <w:color w:val="auto"/>
          <w:sz w:val="24"/>
          <w:szCs w:val="24"/>
          <w:highlight w:val="none"/>
        </w:rPr>
      </w:pPr>
      <w:r>
        <w:rPr>
          <w:rFonts w:ascii="宋体" w:hAnsi="宋体" w:cs="Times New Roman"/>
          <w:b/>
          <w:bCs w:val="0"/>
          <w:color w:val="auto"/>
          <w:sz w:val="24"/>
          <w:szCs w:val="24"/>
          <w:highlight w:val="none"/>
        </w:rPr>
        <w:t>*</w:t>
      </w:r>
      <w:r>
        <w:rPr>
          <w:rFonts w:hint="eastAsia" w:ascii="宋体" w:hAnsi="宋体" w:cs="Times New Roman"/>
          <w:b/>
          <w:bCs w:val="0"/>
          <w:color w:val="auto"/>
          <w:sz w:val="24"/>
          <w:szCs w:val="24"/>
          <w:highlight w:val="none"/>
          <w:lang w:val="en-US" w:eastAsia="zh-CN"/>
        </w:rPr>
        <w:t>4</w:t>
      </w:r>
      <w:r>
        <w:rPr>
          <w:rFonts w:ascii="宋体" w:hAnsi="宋体" w:cs="Times New Roman"/>
          <w:b/>
          <w:bCs w:val="0"/>
          <w:color w:val="auto"/>
          <w:sz w:val="24"/>
          <w:szCs w:val="24"/>
          <w:highlight w:val="none"/>
        </w:rPr>
        <w:t>、</w:t>
      </w:r>
      <w:r>
        <w:rPr>
          <w:rFonts w:hint="eastAsia" w:ascii="宋体" w:hAnsi="宋体" w:cs="宋体"/>
          <w:b/>
          <w:bCs w:val="0"/>
          <w:color w:val="auto"/>
          <w:sz w:val="24"/>
          <w:szCs w:val="24"/>
          <w:highlight w:val="none"/>
        </w:rPr>
        <w:t>投标人承诺同意本项目采购的产品按照销售对象及销售区域的不同而分别与采购单位签订合同，即签订一份适用于厦门市政府机关事业单位、一份适用于福建省内其他终端用户采购合同。两份合同的总数量和总金额为本次采购的总数量和总金额。</w:t>
      </w:r>
    </w:p>
    <w:p w14:paraId="113C297C">
      <w:pPr>
        <w:adjustRightInd w:val="0"/>
        <w:snapToGrid w:val="0"/>
        <w:spacing w:line="360" w:lineRule="auto"/>
        <w:jc w:val="left"/>
        <w:rPr>
          <w:rFonts w:ascii="宋体" w:hAnsi="宋体"/>
          <w:b/>
          <w:color w:val="auto"/>
          <w:sz w:val="28"/>
          <w:szCs w:val="28"/>
          <w:highlight w:val="none"/>
        </w:rPr>
      </w:pPr>
      <w:r>
        <w:rPr>
          <w:rFonts w:hint="eastAsia" w:ascii="宋体" w:hAnsi="宋体" w:cs="Times New Roman"/>
          <w:b/>
          <w:color w:val="auto"/>
          <w:sz w:val="28"/>
          <w:szCs w:val="28"/>
          <w:highlight w:val="none"/>
          <w:lang w:eastAsia="zh-CN"/>
        </w:rPr>
        <w:t>四</w:t>
      </w:r>
      <w:r>
        <w:rPr>
          <w:rFonts w:hint="eastAsia" w:ascii="宋体" w:hAnsi="宋体" w:cs="Times New Roman"/>
          <w:b/>
          <w:color w:val="auto"/>
          <w:sz w:val="28"/>
          <w:szCs w:val="28"/>
          <w:highlight w:val="none"/>
        </w:rPr>
        <w:t>、其他要求及说明</w:t>
      </w:r>
    </w:p>
    <w:p w14:paraId="3DC41073">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*1、投标人须在投标文件中明确</w:t>
      </w:r>
      <w:r>
        <w:rPr>
          <w:rFonts w:hint="eastAsia" w:ascii="宋体" w:hAnsi="宋体" w:cs="Times New Roman"/>
          <w:b/>
          <w:color w:val="auto"/>
          <w:sz w:val="24"/>
          <w:szCs w:val="24"/>
          <w:highlight w:val="none"/>
        </w:rPr>
        <w:t>作出书面承诺：</w:t>
      </w:r>
    </w:p>
    <w:p w14:paraId="4D89949F">
      <w:pPr>
        <w:spacing w:line="360" w:lineRule="auto"/>
        <w:ind w:firstLine="482" w:firstLineChars="200"/>
        <w:rPr>
          <w:rFonts w:ascii="宋体" w:hAnsi="宋体"/>
          <w:b/>
          <w:color w:val="auto"/>
          <w:sz w:val="24"/>
          <w:szCs w:val="24"/>
          <w:highlight w:val="none"/>
        </w:rPr>
      </w:pPr>
      <w:r>
        <w:rPr>
          <w:rFonts w:hint="eastAsia" w:ascii="宋体" w:hAnsi="宋体" w:cs="Times New Roman"/>
          <w:b/>
          <w:color w:val="auto"/>
          <w:sz w:val="24"/>
          <w:szCs w:val="24"/>
          <w:highlight w:val="none"/>
        </w:rPr>
        <w:t>投标人承诺接受《采购合同》中《服务考核细则》对其的考核并同意按考核情况处理。</w:t>
      </w:r>
    </w:p>
    <w:p w14:paraId="5225D404">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*2、采购单位付款时，中标供应商应提供一般纳税人的增值税专用发票；否则，采购单位有权拒绝支付相应款项。</w:t>
      </w:r>
    </w:p>
    <w:p w14:paraId="53037A80">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*3、投标人承诺，如获中标将配合采购单位及产品检验检测机构进行投标产品的检验检测，产品检验检测产生的一切相关费用由中标供应商承担。</w:t>
      </w:r>
    </w:p>
    <w:p w14:paraId="4DE564BE">
      <w:pPr>
        <w:adjustRightInd w:val="0"/>
        <w:snapToGrid w:val="0"/>
        <w:spacing w:line="360" w:lineRule="auto"/>
        <w:ind w:firstLine="472" w:firstLineChars="196"/>
        <w:jc w:val="left"/>
        <w:rPr>
          <w:rFonts w:ascii="宋体" w:hAnsi="宋体" w:cs="宋体"/>
          <w:b/>
          <w:color w:val="auto"/>
          <w:sz w:val="24"/>
          <w:szCs w:val="24"/>
          <w:highlight w:val="none"/>
        </w:rPr>
      </w:pPr>
      <w:r>
        <w:rPr>
          <w:rFonts w:ascii="宋体" w:hAnsi="宋体" w:cs="Times New Roman"/>
          <w:b/>
          <w:color w:val="auto"/>
          <w:sz w:val="24"/>
          <w:szCs w:val="24"/>
          <w:highlight w:val="none"/>
        </w:rPr>
        <w:t>*4</w:t>
      </w:r>
      <w:r>
        <w:rPr>
          <w:rFonts w:hint="eastAsia" w:ascii="宋体" w:hAnsi="宋体"/>
          <w:b/>
          <w:color w:val="auto"/>
          <w:sz w:val="24"/>
          <w:szCs w:val="24"/>
          <w:highlight w:val="none"/>
        </w:rPr>
        <w:t>、</w:t>
      </w:r>
      <w:r>
        <w:rPr>
          <w:rFonts w:hint="eastAsia" w:ascii="宋体" w:hAnsi="宋体" w:cs="宋体"/>
          <w:b/>
          <w:color w:val="auto"/>
          <w:sz w:val="24"/>
          <w:szCs w:val="24"/>
          <w:highlight w:val="none"/>
        </w:rPr>
        <w:t>投标人承诺同意分别免费提供所有品目号各一台的投标产品给采购单位作为备用机，且于中标后第一次供货时一并提供。备用机归采购单位所有，由采购单位自行调配，合同期满后亦不予返还中标供应商。</w:t>
      </w:r>
    </w:p>
    <w:p w14:paraId="5E061EB2">
      <w:pPr>
        <w:shd w:val="clear"/>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w:t>
      </w:r>
      <w:r>
        <w:rPr>
          <w:rFonts w:hint="eastAsia" w:ascii="宋体" w:hAnsi="宋体" w:cs="宋体"/>
          <w:b/>
          <w:color w:val="auto"/>
          <w:sz w:val="24"/>
          <w:szCs w:val="24"/>
          <w:highlight w:val="none"/>
          <w:lang w:val="en-US" w:eastAsia="zh-CN"/>
        </w:rPr>
        <w:t>5</w:t>
      </w:r>
      <w:r>
        <w:rPr>
          <w:rFonts w:ascii="宋体" w:hAnsi="宋体" w:cs="宋体"/>
          <w:b/>
          <w:color w:val="auto"/>
          <w:sz w:val="24"/>
          <w:szCs w:val="24"/>
          <w:highlight w:val="none"/>
        </w:rPr>
        <w:t>、</w:t>
      </w:r>
      <w:r>
        <w:rPr>
          <w:rFonts w:hint="eastAsia" w:ascii="宋体" w:hAnsi="宋体" w:cs="宋体"/>
          <w:b/>
          <w:color w:val="auto"/>
          <w:sz w:val="24"/>
          <w:szCs w:val="24"/>
          <w:highlight w:val="none"/>
          <w:lang w:eastAsia="zh-CN"/>
        </w:rPr>
        <w:t>分批供货，以采购单位的供货通知为准。</w:t>
      </w:r>
    </w:p>
    <w:p w14:paraId="6A248346">
      <w:pPr>
        <w:adjustRightInd w:val="0"/>
        <w:snapToGrid w:val="0"/>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货物送</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仓库后再配送至最终用户的，中标供应商应在</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发出《定货单》之日起</w:t>
      </w:r>
      <w:r>
        <w:rPr>
          <w:rFonts w:hint="eastAsia" w:ascii="宋体" w:hAnsi="宋体" w:cs="宋体"/>
          <w:b/>
          <w:color w:val="auto"/>
          <w:sz w:val="24"/>
          <w:szCs w:val="24"/>
          <w:highlight w:val="none"/>
          <w:lang w:val="en-US" w:eastAsia="zh-CN"/>
        </w:rPr>
        <w:t>20</w:t>
      </w:r>
      <w:r>
        <w:rPr>
          <w:rFonts w:hint="eastAsia" w:ascii="宋体" w:hAnsi="宋体" w:cs="宋体"/>
          <w:b/>
          <w:color w:val="auto"/>
          <w:sz w:val="24"/>
          <w:szCs w:val="24"/>
          <w:highlight w:val="none"/>
        </w:rPr>
        <w:t xml:space="preserve"> 个日历日之内（《定货单》的交货期与本条约定不一致的，以《定货单》为准）将货交</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w:t>
      </w:r>
      <w:r>
        <w:rPr>
          <w:rFonts w:hint="eastAsia" w:ascii="宋体" w:hAnsi="宋体" w:cs="宋体"/>
          <w:b/>
          <w:color w:val="auto"/>
          <w:sz w:val="24"/>
          <w:szCs w:val="24"/>
          <w:highlight w:val="none"/>
          <w:lang w:val="en-US" w:eastAsia="zh-CN"/>
        </w:rPr>
        <w:t xml:space="preserve"> </w:t>
      </w:r>
      <w:r>
        <w:rPr>
          <w:rFonts w:hint="eastAsia" w:ascii="宋体" w:hAnsi="宋体" w:cs="宋体"/>
          <w:b/>
          <w:color w:val="auto"/>
          <w:sz w:val="24"/>
          <w:szCs w:val="24"/>
          <w:highlight w:val="none"/>
        </w:rPr>
        <w:t>货物到达</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仓库后，中标供应商应在接到</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通知后24小时内（仅指货物配送时限要求）将货物从</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仓库二次配送至最终用户（地址为厦门市岛内行政区域），并按约定完成安装调试后提请验收交付。中标供应商除承担运送至</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仓库的费用、货物存至</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仓库的仓储操作费</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A4幅面激光打印机仓储操作费10元/台，A3幅面激光打印机仓储操作费15元/台</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，还应同时承担从</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仓库运送至最终用户的二次配送费用。中标供应商从</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仓库中提货之时起至货物经最终用户签收之时止，货物毁损、灭失的风险由中标供应商承担。</w:t>
      </w:r>
    </w:p>
    <w:p w14:paraId="007D3E26">
      <w:pPr>
        <w:adjustRightInd w:val="0"/>
        <w:snapToGrid w:val="0"/>
        <w:spacing w:line="360" w:lineRule="auto"/>
        <w:ind w:firstLine="482" w:firstLineChars="200"/>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rPr>
        <w:t>若中标供应商未按约定的时间完成二次配送的，</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将代为进行二次配送，中标供应商应按如下费用标准最迟在</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发出《定货单》之日起</w:t>
      </w:r>
      <w:sdt>
        <w:sdtPr>
          <w:rPr>
            <w:rFonts w:hint="eastAsia" w:ascii="宋体" w:hAnsi="宋体" w:cs="宋体"/>
            <w:b/>
            <w:color w:val="auto"/>
            <w:sz w:val="24"/>
            <w:szCs w:val="24"/>
            <w:highlight w:val="none"/>
            <w:lang w:val="en-US" w:eastAsia="zh-CN"/>
          </w:rPr>
          <w:id w:val="147470622"/>
          <w:placeholder>
            <w:docPart w:val="{73167901-1e43-405a-a6bd-ac6debb68c73}"/>
          </w:placeholder>
        </w:sdtPr>
        <w:sdtEndPr>
          <w:rPr>
            <w:rFonts w:hint="eastAsia" w:ascii="宋体" w:hAnsi="宋体" w:cs="宋体"/>
            <w:b/>
            <w:color w:val="auto"/>
            <w:sz w:val="24"/>
            <w:szCs w:val="24"/>
            <w:highlight w:val="none"/>
            <w:lang w:val="en-US" w:eastAsia="zh-CN"/>
          </w:rPr>
        </w:sdtEndPr>
        <w:sdtContent>
          <w:r>
            <w:rPr>
              <w:rFonts w:hint="eastAsia" w:ascii="宋体" w:hAnsi="宋体" w:cs="宋体"/>
              <w:b/>
              <w:color w:val="auto"/>
              <w:sz w:val="24"/>
              <w:szCs w:val="24"/>
              <w:highlight w:val="none"/>
              <w:lang w:val="en-US" w:eastAsia="zh-CN"/>
            </w:rPr>
            <w:t>10</w:t>
          </w:r>
        </w:sdtContent>
      </w:sdt>
      <w:r>
        <w:rPr>
          <w:rFonts w:hint="eastAsia" w:ascii="宋体" w:hAnsi="宋体" w:cs="宋体"/>
          <w:b/>
          <w:color w:val="auto"/>
          <w:sz w:val="24"/>
          <w:szCs w:val="24"/>
          <w:highlight w:val="none"/>
        </w:rPr>
        <w:t>个</w:t>
      </w:r>
      <w:r>
        <w:rPr>
          <w:rFonts w:hint="eastAsia" w:ascii="宋体" w:hAnsi="宋体" w:cs="宋体"/>
          <w:b/>
          <w:color w:val="auto"/>
          <w:sz w:val="24"/>
          <w:szCs w:val="24"/>
          <w:highlight w:val="none"/>
          <w:lang w:eastAsia="zh-CN"/>
        </w:rPr>
        <w:t>工作</w:t>
      </w:r>
      <w:r>
        <w:rPr>
          <w:rFonts w:hint="eastAsia" w:ascii="宋体" w:hAnsi="宋体" w:cs="宋体"/>
          <w:b/>
          <w:color w:val="auto"/>
          <w:sz w:val="24"/>
          <w:szCs w:val="24"/>
          <w:highlight w:val="none"/>
        </w:rPr>
        <w:t>日内向</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指定的第三方物流商支付相应</w:t>
      </w:r>
      <w:sdt>
        <w:sdtPr>
          <w:rPr>
            <w:rFonts w:hint="eastAsia" w:ascii="宋体" w:hAnsi="宋体" w:cs="宋体"/>
            <w:b/>
            <w:color w:val="auto"/>
            <w:sz w:val="24"/>
            <w:szCs w:val="24"/>
            <w:highlight w:val="none"/>
            <w:lang w:val="en-US" w:eastAsia="zh-CN"/>
          </w:rPr>
          <w:id w:val="147463159"/>
          <w:placeholder>
            <w:docPart w:val="{b473284c-d7cc-4799-86fb-aa13be203c14}"/>
          </w:placeholder>
        </w:sdtPr>
        <w:sdtEndPr>
          <w:rPr>
            <w:rFonts w:hint="eastAsia" w:ascii="宋体" w:hAnsi="宋体" w:cs="宋体"/>
            <w:b/>
            <w:color w:val="auto"/>
            <w:sz w:val="24"/>
            <w:szCs w:val="24"/>
            <w:highlight w:val="none"/>
            <w:lang w:val="en-US" w:eastAsia="zh-CN"/>
          </w:rPr>
        </w:sdtEndPr>
        <w:sdtContent>
          <w:r>
            <w:rPr>
              <w:rFonts w:hint="eastAsia" w:ascii="宋体" w:hAnsi="宋体" w:cs="宋体"/>
              <w:b/>
              <w:color w:val="auto"/>
              <w:sz w:val="24"/>
              <w:szCs w:val="24"/>
              <w:highlight w:val="none"/>
            </w:rPr>
            <w:t>仓储操作费及二次配送费用：A4幅面激光打印机仓储操作费10元/台，二次配送费15元/台；A3幅面激光打印机仓储操作费15元/台，二次配送费45元/台。</w:t>
          </w:r>
        </w:sdtContent>
      </w:sdt>
      <w:r>
        <w:rPr>
          <w:rFonts w:hint="eastAsia" w:ascii="宋体" w:hAnsi="宋体" w:cs="宋体"/>
          <w:b/>
          <w:color w:val="auto"/>
          <w:sz w:val="24"/>
          <w:szCs w:val="24"/>
          <w:highlight w:val="none"/>
        </w:rPr>
        <w:t>若中标供应商未向</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指定的第三方物流商支付该仓储操作费及二次配送费用的，</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有权从中标供应商货款或约定的履约保证金总额中扣除相应费用。</w:t>
      </w:r>
    </w:p>
    <w:p w14:paraId="28AD9391">
      <w:pPr>
        <w:adjustRightInd w:val="0"/>
        <w:snapToGrid w:val="0"/>
        <w:spacing w:line="360" w:lineRule="auto"/>
        <w:ind w:firstLine="472" w:firstLineChars="196"/>
        <w:jc w:val="left"/>
        <w:rPr>
          <w:rFonts w:ascii="宋体" w:hAnsi="宋体"/>
          <w:b/>
          <w:color w:val="auto"/>
          <w:kern w:val="0"/>
          <w:sz w:val="24"/>
          <w:szCs w:val="24"/>
          <w:highlight w:val="none"/>
        </w:rPr>
      </w:pPr>
      <w:r>
        <w:rPr>
          <w:rFonts w:ascii="宋体" w:hAnsi="宋体" w:cs="Times New Roman"/>
          <w:b/>
          <w:color w:val="auto"/>
          <w:kern w:val="0"/>
          <w:sz w:val="24"/>
          <w:szCs w:val="24"/>
          <w:highlight w:val="none"/>
        </w:rPr>
        <w:t xml:space="preserve"> *</w:t>
      </w:r>
      <w:r>
        <w:rPr>
          <w:rFonts w:hint="eastAsia" w:ascii="宋体" w:hAnsi="宋体" w:cs="Times New Roman"/>
          <w:b/>
          <w:color w:val="auto"/>
          <w:kern w:val="0"/>
          <w:sz w:val="24"/>
          <w:szCs w:val="24"/>
          <w:highlight w:val="none"/>
          <w:lang w:val="en-US" w:eastAsia="zh-CN"/>
        </w:rPr>
        <w:t>6</w:t>
      </w:r>
      <w:r>
        <w:rPr>
          <w:rFonts w:ascii="宋体" w:hAnsi="宋体" w:cs="Times New Roman"/>
          <w:b/>
          <w:color w:val="auto"/>
          <w:kern w:val="0"/>
          <w:sz w:val="24"/>
          <w:szCs w:val="24"/>
          <w:highlight w:val="none"/>
        </w:rPr>
        <w:t>、</w:t>
      </w:r>
      <w:r>
        <w:rPr>
          <w:rFonts w:hint="eastAsia" w:ascii="宋体" w:hAnsi="宋体" w:cs="宋体"/>
          <w:b/>
          <w:color w:val="auto"/>
          <w:sz w:val="24"/>
          <w:szCs w:val="24"/>
          <w:highlight w:val="none"/>
        </w:rPr>
        <w:t>合同期内每三个月，采购单位可根据市场行情变化，与中标供应商就产品单价进行重新谈判，价格不得高于中标价格。</w:t>
      </w:r>
    </w:p>
    <w:p w14:paraId="48984D09">
      <w:pPr>
        <w:adjustRightInd w:val="0"/>
        <w:snapToGrid w:val="0"/>
        <w:spacing w:line="360" w:lineRule="auto"/>
        <w:ind w:firstLine="472" w:firstLineChars="196"/>
        <w:jc w:val="left"/>
        <w:rPr>
          <w:rFonts w:ascii="宋体" w:hAnsi="宋体"/>
          <w:b/>
          <w:color w:val="auto"/>
          <w:kern w:val="0"/>
          <w:sz w:val="24"/>
          <w:szCs w:val="24"/>
          <w:highlight w:val="none"/>
        </w:rPr>
      </w:pPr>
      <w:r>
        <w:rPr>
          <w:rFonts w:ascii="宋体" w:hAnsi="宋体" w:cs="Times New Roman"/>
          <w:b/>
          <w:color w:val="auto"/>
          <w:kern w:val="0"/>
          <w:sz w:val="24"/>
          <w:szCs w:val="24"/>
          <w:highlight w:val="none"/>
        </w:rPr>
        <w:t>*</w:t>
      </w:r>
      <w:r>
        <w:rPr>
          <w:rFonts w:hint="eastAsia" w:ascii="宋体" w:hAnsi="宋体" w:cs="Times New Roman"/>
          <w:b/>
          <w:color w:val="auto"/>
          <w:kern w:val="0"/>
          <w:sz w:val="24"/>
          <w:szCs w:val="24"/>
          <w:highlight w:val="none"/>
          <w:lang w:val="en-US" w:eastAsia="zh-CN"/>
        </w:rPr>
        <w:t>7</w:t>
      </w:r>
      <w:r>
        <w:rPr>
          <w:rFonts w:ascii="宋体" w:hAnsi="宋体" w:cs="Times New Roman"/>
          <w:b/>
          <w:color w:val="auto"/>
          <w:kern w:val="0"/>
          <w:sz w:val="24"/>
          <w:szCs w:val="24"/>
          <w:highlight w:val="none"/>
        </w:rPr>
        <w:t>、投标人须在投标文件中书面承诺：提供产品的安装费用和上门售后服务费用</w:t>
      </w:r>
      <w:r>
        <w:rPr>
          <w:rFonts w:hint="eastAsia" w:ascii="宋体" w:hAnsi="宋体" w:cs="Times New Roman"/>
          <w:b/>
          <w:color w:val="auto"/>
          <w:kern w:val="0"/>
          <w:sz w:val="24"/>
          <w:szCs w:val="24"/>
          <w:highlight w:val="none"/>
          <w:lang w:eastAsia="zh-CN"/>
        </w:rPr>
        <w:t>不高于</w:t>
      </w:r>
      <w:r>
        <w:rPr>
          <w:rFonts w:ascii="宋体" w:hAnsi="宋体" w:cs="Times New Roman"/>
          <w:b/>
          <w:color w:val="auto"/>
          <w:kern w:val="0"/>
          <w:sz w:val="24"/>
          <w:szCs w:val="24"/>
          <w:highlight w:val="none"/>
        </w:rPr>
        <w:t>以下收费标准执行。</w:t>
      </w:r>
    </w:p>
    <w:tbl>
      <w:tblPr>
        <w:tblStyle w:val="12"/>
        <w:tblW w:w="0" w:type="auto"/>
        <w:jc w:val="center"/>
        <w:tblLayout w:type="fixed"/>
        <w:tblCellMar>
          <w:top w:w="0" w:type="dxa"/>
          <w:left w:w="108" w:type="dxa"/>
          <w:bottom w:w="0" w:type="dxa"/>
          <w:right w:w="108" w:type="dxa"/>
        </w:tblCellMar>
      </w:tblPr>
      <w:tblGrid>
        <w:gridCol w:w="2125"/>
        <w:gridCol w:w="4977"/>
        <w:gridCol w:w="1194"/>
      </w:tblGrid>
      <w:tr w14:paraId="393CE820">
        <w:trPr>
          <w:trHeight w:val="555" w:hRule="atLeast"/>
          <w:jc w:val="center"/>
        </w:trPr>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14:paraId="3606B11F">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费用名称</w:t>
            </w:r>
          </w:p>
        </w:tc>
        <w:tc>
          <w:tcPr>
            <w:tcW w:w="4977" w:type="dxa"/>
            <w:tcBorders>
              <w:top w:val="single" w:color="auto" w:sz="4" w:space="0"/>
              <w:left w:val="nil"/>
              <w:bottom w:val="single" w:color="auto" w:sz="4" w:space="0"/>
              <w:right w:val="single" w:color="auto" w:sz="4" w:space="0"/>
            </w:tcBorders>
            <w:shd w:val="clear" w:color="auto" w:fill="auto"/>
            <w:vAlign w:val="center"/>
          </w:tcPr>
          <w:p w14:paraId="615AE4F5">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区域范围</w:t>
            </w:r>
          </w:p>
        </w:tc>
        <w:tc>
          <w:tcPr>
            <w:tcW w:w="1194" w:type="dxa"/>
            <w:tcBorders>
              <w:top w:val="single" w:color="auto" w:sz="4" w:space="0"/>
              <w:left w:val="nil"/>
              <w:bottom w:val="single" w:color="auto" w:sz="4" w:space="0"/>
              <w:right w:val="single" w:color="auto" w:sz="4" w:space="0"/>
            </w:tcBorders>
            <w:shd w:val="clear" w:color="auto" w:fill="auto"/>
            <w:vAlign w:val="center"/>
          </w:tcPr>
          <w:p w14:paraId="7AB6736C">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收费标准</w:t>
            </w:r>
          </w:p>
        </w:tc>
      </w:tr>
      <w:tr w14:paraId="4115EBC6">
        <w:tblPrEx>
          <w:tblCellMar>
            <w:top w:w="0" w:type="dxa"/>
            <w:left w:w="108" w:type="dxa"/>
            <w:bottom w:w="0" w:type="dxa"/>
            <w:right w:w="108" w:type="dxa"/>
          </w:tblCellMar>
        </w:tblPrEx>
        <w:trPr>
          <w:trHeight w:val="332" w:hRule="atLeast"/>
          <w:jc w:val="center"/>
        </w:trPr>
        <w:tc>
          <w:tcPr>
            <w:tcW w:w="2125" w:type="dxa"/>
            <w:vMerge w:val="restart"/>
            <w:tcBorders>
              <w:top w:val="nil"/>
              <w:left w:val="single" w:color="auto" w:sz="4" w:space="0"/>
              <w:bottom w:val="single" w:color="auto" w:sz="4" w:space="0"/>
              <w:right w:val="single" w:color="auto" w:sz="4" w:space="0"/>
            </w:tcBorders>
            <w:shd w:val="clear" w:color="auto" w:fill="auto"/>
            <w:vAlign w:val="center"/>
          </w:tcPr>
          <w:p w14:paraId="6A0F5E0D">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激光打印机安装费用</w:t>
            </w:r>
          </w:p>
        </w:tc>
        <w:tc>
          <w:tcPr>
            <w:tcW w:w="4977" w:type="dxa"/>
            <w:tcBorders>
              <w:top w:val="nil"/>
              <w:left w:val="nil"/>
              <w:bottom w:val="single" w:color="auto" w:sz="4" w:space="0"/>
              <w:right w:val="single" w:color="auto" w:sz="4" w:space="0"/>
            </w:tcBorders>
            <w:shd w:val="clear" w:color="auto" w:fill="auto"/>
            <w:vAlign w:val="center"/>
          </w:tcPr>
          <w:p w14:paraId="11D268E0">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厦门市全区、福州市区内、莆田市区内、泉州市区内、漳州市区内、龙岩市区内、三明市区内、南平市区内和宁德市区内（福建省各地市区外划分详见该表格备注栏）</w:t>
            </w:r>
          </w:p>
        </w:tc>
        <w:tc>
          <w:tcPr>
            <w:tcW w:w="1194" w:type="dxa"/>
            <w:tcBorders>
              <w:top w:val="nil"/>
              <w:left w:val="nil"/>
              <w:bottom w:val="single" w:color="auto" w:sz="4" w:space="0"/>
              <w:right w:val="single" w:color="auto" w:sz="4" w:space="0"/>
            </w:tcBorders>
            <w:shd w:val="clear" w:color="auto" w:fill="auto"/>
            <w:vAlign w:val="center"/>
          </w:tcPr>
          <w:p w14:paraId="520EE6C1">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免费</w:t>
            </w:r>
          </w:p>
        </w:tc>
      </w:tr>
      <w:tr w14:paraId="01A4BD5B">
        <w:tblPrEx>
          <w:tblCellMar>
            <w:top w:w="0" w:type="dxa"/>
            <w:left w:w="108" w:type="dxa"/>
            <w:bottom w:w="0" w:type="dxa"/>
            <w:right w:w="108" w:type="dxa"/>
          </w:tblCellMar>
        </w:tblPrEx>
        <w:trPr>
          <w:trHeight w:val="332" w:hRule="atLeast"/>
          <w:jc w:val="center"/>
        </w:trPr>
        <w:tc>
          <w:tcPr>
            <w:tcW w:w="2125" w:type="dxa"/>
            <w:vMerge w:val="continue"/>
            <w:tcBorders>
              <w:top w:val="nil"/>
              <w:left w:val="single" w:color="auto" w:sz="4" w:space="0"/>
              <w:bottom w:val="single" w:color="auto" w:sz="4" w:space="0"/>
              <w:right w:val="single" w:color="auto" w:sz="4" w:space="0"/>
            </w:tcBorders>
            <w:shd w:val="clear" w:color="auto" w:fill="auto"/>
            <w:vAlign w:val="center"/>
          </w:tcPr>
          <w:p w14:paraId="60DE3A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bCs/>
                <w:color w:val="auto"/>
                <w:sz w:val="21"/>
                <w:szCs w:val="21"/>
                <w:highlight w:val="none"/>
              </w:rPr>
            </w:pPr>
          </w:p>
        </w:tc>
        <w:tc>
          <w:tcPr>
            <w:tcW w:w="4977" w:type="dxa"/>
            <w:tcBorders>
              <w:top w:val="nil"/>
              <w:left w:val="nil"/>
              <w:bottom w:val="single" w:color="auto" w:sz="4" w:space="0"/>
              <w:right w:val="single" w:color="auto" w:sz="4" w:space="0"/>
            </w:tcBorders>
            <w:shd w:val="clear" w:color="auto" w:fill="auto"/>
            <w:vAlign w:val="center"/>
          </w:tcPr>
          <w:p w14:paraId="7290967B">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福州市区外、莆田市区外、泉州市区外、漳州市区外、龙岩市区外、三明市区外、南平市区外和宁德市区外（福建省各地市区外划分详见该表格备注栏）</w:t>
            </w:r>
          </w:p>
        </w:tc>
        <w:tc>
          <w:tcPr>
            <w:tcW w:w="1194" w:type="dxa"/>
            <w:tcBorders>
              <w:top w:val="nil"/>
              <w:left w:val="nil"/>
              <w:bottom w:val="single" w:color="auto" w:sz="4" w:space="0"/>
              <w:right w:val="single" w:color="auto" w:sz="4" w:space="0"/>
            </w:tcBorders>
            <w:shd w:val="clear" w:color="auto" w:fill="auto"/>
            <w:vAlign w:val="center"/>
          </w:tcPr>
          <w:p w14:paraId="088F4DF4">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79元/台</w:t>
            </w:r>
          </w:p>
        </w:tc>
      </w:tr>
      <w:tr w14:paraId="46686A14">
        <w:tblPrEx>
          <w:tblCellMar>
            <w:top w:w="0" w:type="dxa"/>
            <w:left w:w="108" w:type="dxa"/>
            <w:bottom w:w="0" w:type="dxa"/>
            <w:right w:w="108" w:type="dxa"/>
          </w:tblCellMar>
        </w:tblPrEx>
        <w:trPr>
          <w:trHeight w:val="1140" w:hRule="atLeast"/>
          <w:jc w:val="center"/>
        </w:trPr>
        <w:tc>
          <w:tcPr>
            <w:tcW w:w="829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7806E5">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备注：福建省各地市的区内/区外划分</w:t>
            </w:r>
          </w:p>
          <w:tbl>
            <w:tblPr>
              <w:tblStyle w:val="12"/>
              <w:tblW w:w="0" w:type="auto"/>
              <w:tblInd w:w="0" w:type="dxa"/>
              <w:tblLayout w:type="fixed"/>
              <w:tblCellMar>
                <w:top w:w="0" w:type="dxa"/>
                <w:left w:w="108" w:type="dxa"/>
                <w:bottom w:w="0" w:type="dxa"/>
                <w:right w:w="108" w:type="dxa"/>
              </w:tblCellMar>
            </w:tblPr>
            <w:tblGrid>
              <w:gridCol w:w="1014"/>
              <w:gridCol w:w="993"/>
              <w:gridCol w:w="6053"/>
            </w:tblGrid>
            <w:tr w14:paraId="2E5EDF30">
              <w:tblPrEx>
                <w:tblCellMar>
                  <w:top w:w="0" w:type="dxa"/>
                  <w:left w:w="108" w:type="dxa"/>
                  <w:bottom w:w="0" w:type="dxa"/>
                  <w:right w:w="108" w:type="dxa"/>
                </w:tblCellMar>
              </w:tblPrEx>
              <w:trPr>
                <w:trHeight w:val="375"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642757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厦门</w:t>
                  </w:r>
                </w:p>
              </w:tc>
              <w:tc>
                <w:tcPr>
                  <w:tcW w:w="993" w:type="dxa"/>
                  <w:tcBorders>
                    <w:top w:val="single" w:color="auto" w:sz="8" w:space="0"/>
                    <w:left w:val="nil"/>
                    <w:bottom w:val="single" w:color="auto" w:sz="8" w:space="0"/>
                    <w:right w:val="single" w:color="auto" w:sz="8" w:space="0"/>
                  </w:tcBorders>
                  <w:vAlign w:val="center"/>
                </w:tcPr>
                <w:p w14:paraId="23A76A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岛内</w:t>
                  </w:r>
                </w:p>
              </w:tc>
              <w:tc>
                <w:tcPr>
                  <w:tcW w:w="6053" w:type="dxa"/>
                  <w:tcBorders>
                    <w:top w:val="single" w:color="auto" w:sz="8" w:space="0"/>
                    <w:left w:val="nil"/>
                    <w:bottom w:val="single" w:color="auto" w:sz="8" w:space="0"/>
                    <w:right w:val="single" w:color="auto" w:sz="8" w:space="0"/>
                  </w:tcBorders>
                  <w:vAlign w:val="center"/>
                </w:tcPr>
                <w:p w14:paraId="040061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思明区、湖里区</w:t>
                  </w:r>
                </w:p>
              </w:tc>
            </w:tr>
            <w:tr w14:paraId="7C3FC61A">
              <w:tblPrEx>
                <w:tblCellMar>
                  <w:top w:w="0" w:type="dxa"/>
                  <w:left w:w="108" w:type="dxa"/>
                  <w:bottom w:w="0" w:type="dxa"/>
                  <w:right w:w="108" w:type="dxa"/>
                </w:tblCellMar>
              </w:tblPrEx>
              <w:trPr>
                <w:trHeight w:val="40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740FBA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kern w:val="0"/>
                      <w:sz w:val="21"/>
                      <w:szCs w:val="21"/>
                      <w:highlight w:val="none"/>
                    </w:rPr>
                  </w:pPr>
                </w:p>
              </w:tc>
              <w:tc>
                <w:tcPr>
                  <w:tcW w:w="993" w:type="dxa"/>
                  <w:tcBorders>
                    <w:top w:val="single" w:color="auto" w:sz="8" w:space="0"/>
                    <w:left w:val="nil"/>
                    <w:bottom w:val="single" w:color="auto" w:sz="8" w:space="0"/>
                    <w:right w:val="single" w:color="auto" w:sz="8" w:space="0"/>
                  </w:tcBorders>
                  <w:vAlign w:val="center"/>
                </w:tcPr>
                <w:p w14:paraId="416CB3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岛外</w:t>
                  </w:r>
                </w:p>
              </w:tc>
              <w:tc>
                <w:tcPr>
                  <w:tcW w:w="6053" w:type="dxa"/>
                  <w:tcBorders>
                    <w:top w:val="single" w:color="auto" w:sz="8" w:space="0"/>
                    <w:left w:val="nil"/>
                    <w:bottom w:val="single" w:color="auto" w:sz="8" w:space="0"/>
                    <w:right w:val="single" w:color="auto" w:sz="8" w:space="0"/>
                  </w:tcBorders>
                  <w:vAlign w:val="center"/>
                </w:tcPr>
                <w:p w14:paraId="6DF190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海沧区、集美区、同安区、翔安区等厦门市非岛内范围</w:t>
                  </w:r>
                </w:p>
              </w:tc>
            </w:tr>
            <w:tr w14:paraId="403A5F37">
              <w:tblPrEx>
                <w:tblCellMar>
                  <w:top w:w="0" w:type="dxa"/>
                  <w:left w:w="108" w:type="dxa"/>
                  <w:bottom w:w="0" w:type="dxa"/>
                  <w:right w:w="108" w:type="dxa"/>
                </w:tblCellMar>
              </w:tblPrEx>
              <w:trPr>
                <w:trHeight w:val="310"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736719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福州市</w:t>
                  </w:r>
                </w:p>
              </w:tc>
              <w:tc>
                <w:tcPr>
                  <w:tcW w:w="993" w:type="dxa"/>
                  <w:tcBorders>
                    <w:top w:val="single" w:color="auto" w:sz="8" w:space="0"/>
                    <w:left w:val="nil"/>
                    <w:bottom w:val="single" w:color="auto" w:sz="8" w:space="0"/>
                    <w:right w:val="single" w:color="auto" w:sz="8" w:space="0"/>
                  </w:tcBorders>
                  <w:vAlign w:val="center"/>
                </w:tcPr>
                <w:p w14:paraId="2EFE34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single" w:color="auto" w:sz="8" w:space="0"/>
                    <w:left w:val="nil"/>
                    <w:bottom w:val="single" w:color="auto" w:sz="8" w:space="0"/>
                    <w:right w:val="single" w:color="auto" w:sz="8" w:space="0"/>
                  </w:tcBorders>
                  <w:vAlign w:val="center"/>
                </w:tcPr>
                <w:p w14:paraId="3FB718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鼓楼区、台江区、仓山区、晋安区、马尾区</w:t>
                  </w:r>
                </w:p>
              </w:tc>
            </w:tr>
            <w:tr w14:paraId="2686D58A">
              <w:tblPrEx>
                <w:tblCellMar>
                  <w:top w:w="0" w:type="dxa"/>
                  <w:left w:w="108" w:type="dxa"/>
                  <w:bottom w:w="0" w:type="dxa"/>
                  <w:right w:w="108" w:type="dxa"/>
                </w:tblCellMar>
              </w:tblPrEx>
              <w:trPr>
                <w:trHeight w:val="61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391F6B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7237C9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53B1F3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福清市、长乐市、闽侯县、连江县、罗源县、闽清县、永泰县、平潭县等福州市非区内范围</w:t>
                  </w:r>
                </w:p>
              </w:tc>
            </w:tr>
            <w:tr w14:paraId="73CF78CA">
              <w:tblPrEx>
                <w:tblCellMar>
                  <w:top w:w="0" w:type="dxa"/>
                  <w:left w:w="108" w:type="dxa"/>
                  <w:bottom w:w="0" w:type="dxa"/>
                  <w:right w:w="108" w:type="dxa"/>
                </w:tblCellMar>
              </w:tblPrEx>
              <w:trPr>
                <w:trHeight w:val="390" w:hRule="atLeast"/>
              </w:trPr>
              <w:tc>
                <w:tcPr>
                  <w:tcW w:w="1014" w:type="dxa"/>
                  <w:vMerge w:val="restart"/>
                  <w:tcBorders>
                    <w:top w:val="nil"/>
                    <w:left w:val="single" w:color="auto" w:sz="8" w:space="0"/>
                    <w:bottom w:val="single" w:color="auto" w:sz="8" w:space="0"/>
                    <w:right w:val="single" w:color="auto" w:sz="8" w:space="0"/>
                  </w:tcBorders>
                  <w:vAlign w:val="center"/>
                </w:tcPr>
                <w:p w14:paraId="622237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莆田市</w:t>
                  </w:r>
                </w:p>
              </w:tc>
              <w:tc>
                <w:tcPr>
                  <w:tcW w:w="993" w:type="dxa"/>
                  <w:tcBorders>
                    <w:top w:val="nil"/>
                    <w:left w:val="nil"/>
                    <w:bottom w:val="single" w:color="auto" w:sz="8" w:space="0"/>
                    <w:right w:val="single" w:color="auto" w:sz="8" w:space="0"/>
                  </w:tcBorders>
                  <w:vAlign w:val="center"/>
                </w:tcPr>
                <w:p w14:paraId="326E53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1DF6B8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城厢区、荔城区、涵江区</w:t>
                  </w:r>
                </w:p>
              </w:tc>
            </w:tr>
            <w:tr w14:paraId="4AA1E1EE">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5446E1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515C09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76178A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秀屿区、湄洲岛、仙游县、湄洲湾北岸开发区等莆田市非区内范围</w:t>
                  </w:r>
                </w:p>
              </w:tc>
            </w:tr>
            <w:tr w14:paraId="7D70307A">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1ABD61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泉州市</w:t>
                  </w:r>
                </w:p>
              </w:tc>
              <w:tc>
                <w:tcPr>
                  <w:tcW w:w="993" w:type="dxa"/>
                  <w:tcBorders>
                    <w:top w:val="nil"/>
                    <w:left w:val="nil"/>
                    <w:bottom w:val="single" w:color="auto" w:sz="8" w:space="0"/>
                    <w:right w:val="single" w:color="auto" w:sz="8" w:space="0"/>
                  </w:tcBorders>
                  <w:vAlign w:val="center"/>
                </w:tcPr>
                <w:p w14:paraId="287220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4F8DE4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鲤城区、丰泽区、洛江区、泉港区</w:t>
                  </w:r>
                </w:p>
              </w:tc>
            </w:tr>
            <w:tr w14:paraId="404C0CEC">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5AF4E3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467472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0001DA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晋江市、石狮市、南安市、惠安县、安溪县、永春县、德化县等泉州市非区内范围</w:t>
                  </w:r>
                </w:p>
              </w:tc>
            </w:tr>
            <w:tr w14:paraId="70AA94D2">
              <w:tblPrEx>
                <w:tblCellMar>
                  <w:top w:w="0" w:type="dxa"/>
                  <w:left w:w="108" w:type="dxa"/>
                  <w:bottom w:w="0" w:type="dxa"/>
                  <w:right w:w="108" w:type="dxa"/>
                </w:tblCellMar>
              </w:tblPrEx>
              <w:trPr>
                <w:trHeight w:val="405" w:hRule="atLeast"/>
              </w:trPr>
              <w:tc>
                <w:tcPr>
                  <w:tcW w:w="1014" w:type="dxa"/>
                  <w:vMerge w:val="restart"/>
                  <w:tcBorders>
                    <w:top w:val="nil"/>
                    <w:left w:val="single" w:color="auto" w:sz="8" w:space="0"/>
                    <w:bottom w:val="single" w:color="auto" w:sz="8" w:space="0"/>
                    <w:right w:val="single" w:color="auto" w:sz="8" w:space="0"/>
                  </w:tcBorders>
                  <w:vAlign w:val="center"/>
                </w:tcPr>
                <w:p w14:paraId="03C541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漳州市</w:t>
                  </w:r>
                </w:p>
              </w:tc>
              <w:tc>
                <w:tcPr>
                  <w:tcW w:w="993" w:type="dxa"/>
                  <w:tcBorders>
                    <w:top w:val="nil"/>
                    <w:left w:val="nil"/>
                    <w:bottom w:val="single" w:color="auto" w:sz="8" w:space="0"/>
                    <w:right w:val="single" w:color="auto" w:sz="8" w:space="0"/>
                  </w:tcBorders>
                  <w:vAlign w:val="center"/>
                </w:tcPr>
                <w:p w14:paraId="480E6A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6B97E4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芗城区、龙文区</w:t>
                  </w:r>
                  <w:r>
                    <w:rPr>
                      <w:rFonts w:hint="eastAsia" w:asciiTheme="minorEastAsia" w:hAnsiTheme="minorEastAsia" w:eastAsiaTheme="minorEastAsia" w:cstheme="minorEastAsia"/>
                      <w:b/>
                      <w:color w:val="auto"/>
                      <w:kern w:val="0"/>
                      <w:sz w:val="21"/>
                      <w:szCs w:val="21"/>
                      <w:highlight w:val="none"/>
                      <w:lang w:eastAsia="zh-CN"/>
                    </w:rPr>
                    <w:t>、</w:t>
                  </w:r>
                  <w:r>
                    <w:rPr>
                      <w:rFonts w:hint="eastAsia" w:asciiTheme="minorEastAsia" w:hAnsiTheme="minorEastAsia" w:eastAsiaTheme="minorEastAsia" w:cstheme="minorEastAsia"/>
                      <w:b/>
                      <w:color w:val="auto"/>
                      <w:kern w:val="0"/>
                      <w:sz w:val="21"/>
                      <w:szCs w:val="21"/>
                      <w:highlight w:val="none"/>
                    </w:rPr>
                    <w:t>龙海区、长泰区</w:t>
                  </w:r>
                </w:p>
              </w:tc>
            </w:tr>
            <w:tr w14:paraId="4D16738D">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47E33B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23EF62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57C684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云霄县、漳浦县、诏安县、东山县、南靖县、平和县、华安县等漳州市非区内范围</w:t>
                  </w:r>
                </w:p>
              </w:tc>
            </w:tr>
            <w:tr w14:paraId="6D2DF98E">
              <w:tblPrEx>
                <w:tblCellMar>
                  <w:top w:w="0" w:type="dxa"/>
                  <w:left w:w="108" w:type="dxa"/>
                  <w:bottom w:w="0" w:type="dxa"/>
                  <w:right w:w="108" w:type="dxa"/>
                </w:tblCellMar>
              </w:tblPrEx>
              <w:trPr>
                <w:trHeight w:val="285" w:hRule="atLeast"/>
              </w:trPr>
              <w:tc>
                <w:tcPr>
                  <w:tcW w:w="1014" w:type="dxa"/>
                  <w:vMerge w:val="restart"/>
                  <w:tcBorders>
                    <w:top w:val="nil"/>
                    <w:left w:val="single" w:color="auto" w:sz="8" w:space="0"/>
                    <w:bottom w:val="single" w:color="auto" w:sz="8" w:space="0"/>
                    <w:right w:val="single" w:color="auto" w:sz="8" w:space="0"/>
                  </w:tcBorders>
                  <w:vAlign w:val="center"/>
                </w:tcPr>
                <w:p w14:paraId="3D22ED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龙岩市</w:t>
                  </w:r>
                </w:p>
              </w:tc>
              <w:tc>
                <w:tcPr>
                  <w:tcW w:w="993" w:type="dxa"/>
                  <w:tcBorders>
                    <w:top w:val="nil"/>
                    <w:left w:val="nil"/>
                    <w:bottom w:val="single" w:color="auto" w:sz="8" w:space="0"/>
                    <w:right w:val="single" w:color="auto" w:sz="8" w:space="0"/>
                  </w:tcBorders>
                  <w:vAlign w:val="center"/>
                </w:tcPr>
                <w:p w14:paraId="420B87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17DF38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新罗区</w:t>
                  </w:r>
                </w:p>
              </w:tc>
            </w:tr>
            <w:tr w14:paraId="72D26707">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31950B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5CF789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52D018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永定区、长汀县、连城县、上杭县、武平县等龙岩市非区内范围</w:t>
                  </w:r>
                </w:p>
              </w:tc>
            </w:tr>
            <w:tr w14:paraId="0F5ECDC3">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268956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三明市</w:t>
                  </w:r>
                </w:p>
              </w:tc>
              <w:tc>
                <w:tcPr>
                  <w:tcW w:w="993" w:type="dxa"/>
                  <w:tcBorders>
                    <w:top w:val="nil"/>
                    <w:left w:val="nil"/>
                    <w:bottom w:val="single" w:color="auto" w:sz="8" w:space="0"/>
                    <w:right w:val="single" w:color="auto" w:sz="8" w:space="0"/>
                  </w:tcBorders>
                  <w:vAlign w:val="center"/>
                </w:tcPr>
                <w:p w14:paraId="203CA2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4C321E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梅列区、三元区</w:t>
                  </w:r>
                </w:p>
              </w:tc>
            </w:tr>
            <w:tr w14:paraId="730C519F">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1C797B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3FEAC3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6C43A3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永安市、沙县、尤溪县、大田县、明溪县、清流县、宁化县、将乐县、泰宁县、建宁县等三明市非区内范围</w:t>
                  </w:r>
                </w:p>
              </w:tc>
            </w:tr>
            <w:tr w14:paraId="7F036336">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423B05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南平市</w:t>
                  </w:r>
                </w:p>
              </w:tc>
              <w:tc>
                <w:tcPr>
                  <w:tcW w:w="993" w:type="dxa"/>
                  <w:tcBorders>
                    <w:top w:val="nil"/>
                    <w:left w:val="nil"/>
                    <w:bottom w:val="single" w:color="auto" w:sz="8" w:space="0"/>
                    <w:right w:val="single" w:color="auto" w:sz="8" w:space="0"/>
                  </w:tcBorders>
                  <w:vAlign w:val="center"/>
                </w:tcPr>
                <w:p w14:paraId="681838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2821F0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延平区</w:t>
                  </w:r>
                </w:p>
              </w:tc>
            </w:tr>
            <w:tr w14:paraId="72B56DA9">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0CB334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296008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33568C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顺昌县、建瓯市、邵武市、建阳区、政和县、松溪县、浦城县、武夷山市、光泽县等南平市非区内范围</w:t>
                  </w:r>
                </w:p>
              </w:tc>
            </w:tr>
            <w:tr w14:paraId="0A0242F0">
              <w:tblPrEx>
                <w:tblCellMar>
                  <w:top w:w="0" w:type="dxa"/>
                  <w:left w:w="108" w:type="dxa"/>
                  <w:bottom w:w="0" w:type="dxa"/>
                  <w:right w:w="108" w:type="dxa"/>
                </w:tblCellMar>
              </w:tblPrEx>
              <w:trPr>
                <w:trHeight w:val="375" w:hRule="atLeast"/>
              </w:trPr>
              <w:tc>
                <w:tcPr>
                  <w:tcW w:w="1014" w:type="dxa"/>
                  <w:vMerge w:val="restart"/>
                  <w:tcBorders>
                    <w:top w:val="nil"/>
                    <w:left w:val="single" w:color="auto" w:sz="8" w:space="0"/>
                    <w:bottom w:val="single" w:color="auto" w:sz="8" w:space="0"/>
                    <w:right w:val="single" w:color="auto" w:sz="8" w:space="0"/>
                  </w:tcBorders>
                  <w:vAlign w:val="center"/>
                </w:tcPr>
                <w:p w14:paraId="297A6B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宁德市</w:t>
                  </w:r>
                </w:p>
              </w:tc>
              <w:tc>
                <w:tcPr>
                  <w:tcW w:w="993" w:type="dxa"/>
                  <w:tcBorders>
                    <w:top w:val="nil"/>
                    <w:left w:val="nil"/>
                    <w:bottom w:val="single" w:color="auto" w:sz="8" w:space="0"/>
                    <w:right w:val="single" w:color="auto" w:sz="8" w:space="0"/>
                  </w:tcBorders>
                  <w:vAlign w:val="center"/>
                </w:tcPr>
                <w:p w14:paraId="7B51D2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6FDEBE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蕉城区、东侨新区</w:t>
                  </w:r>
                </w:p>
              </w:tc>
            </w:tr>
            <w:tr w14:paraId="1892E313">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31F654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7D544B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13AEE3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福安市、福鼎市、霞浦县、古田县、屏南县、寿宁县、周宁县、柘荣县等宁德市非区内范围</w:t>
                  </w:r>
                </w:p>
              </w:tc>
            </w:tr>
          </w:tbl>
          <w:p w14:paraId="48571855">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p>
        </w:tc>
      </w:tr>
    </w:tbl>
    <w:p w14:paraId="2BD89310">
      <w:pPr>
        <w:adjustRightInd w:val="0"/>
        <w:snapToGrid w:val="0"/>
        <w:spacing w:line="360" w:lineRule="auto"/>
        <w:ind w:firstLine="472" w:firstLineChars="196"/>
        <w:jc w:val="left"/>
        <w:rPr>
          <w:rFonts w:ascii="宋体" w:hAnsi="宋体"/>
          <w:b/>
          <w:color w:val="auto"/>
          <w:sz w:val="24"/>
          <w:szCs w:val="24"/>
          <w:highlight w:val="none"/>
        </w:rPr>
      </w:pPr>
    </w:p>
    <w:p w14:paraId="0134DD2E">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8</w:t>
      </w:r>
      <w:r>
        <w:rPr>
          <w:rFonts w:ascii="宋体" w:hAnsi="宋体" w:cs="Times New Roman"/>
          <w:b/>
          <w:color w:val="auto"/>
          <w:sz w:val="24"/>
          <w:szCs w:val="24"/>
          <w:highlight w:val="none"/>
        </w:rPr>
        <w:t>、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w:t>
      </w:r>
      <w:r>
        <w:rPr>
          <w:rFonts w:hint="eastAsia" w:ascii="宋体" w:hAnsi="宋体" w:cs="Times New Roman"/>
          <w:b/>
          <w:color w:val="auto"/>
          <w:sz w:val="24"/>
          <w:szCs w:val="24"/>
          <w:highlight w:val="none"/>
        </w:rPr>
        <w:t>接给予扣除。</w:t>
      </w:r>
    </w:p>
    <w:p w14:paraId="14AEC0C4">
      <w:pPr>
        <w:adjustRightInd w:val="0"/>
        <w:snapToGrid w:val="0"/>
        <w:spacing w:line="360" w:lineRule="auto"/>
        <w:ind w:firstLine="472" w:firstLineChars="196"/>
        <w:jc w:val="left"/>
        <w:rPr>
          <w:rFonts w:ascii="宋体" w:hAnsi="宋体" w:cs="Times New Roman"/>
          <w:b/>
          <w:color w:val="auto"/>
          <w:sz w:val="24"/>
          <w:szCs w:val="24"/>
          <w:highlight w:val="none"/>
        </w:rPr>
      </w:pPr>
      <w:r>
        <w:rPr>
          <w:rFonts w:hint="eastAsia" w:ascii="宋体" w:hAnsi="宋体" w:cs="Times New Roman"/>
          <w:b/>
          <w:color w:val="auto"/>
          <w:sz w:val="24"/>
          <w:szCs w:val="24"/>
          <w:highlight w:val="none"/>
        </w:rPr>
        <w:t>*9、</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ascii="宋体" w:hAnsi="宋体" w:cs="Times New Roman"/>
          <w:b/>
          <w:color w:val="auto"/>
          <w:sz w:val="24"/>
          <w:szCs w:val="24"/>
          <w:highlight w:val="none"/>
        </w:rPr>
        <w:t>承诺若中标</w:t>
      </w:r>
      <w:r>
        <w:rPr>
          <w:rFonts w:hint="eastAsia" w:ascii="宋体" w:hAnsi="宋体" w:cs="Times New Roman"/>
          <w:b/>
          <w:color w:val="auto"/>
          <w:sz w:val="24"/>
          <w:szCs w:val="24"/>
          <w:highlight w:val="none"/>
        </w:rPr>
        <w:t>，验收时（包括初验和最终验收），</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必须派代表参加并确认验收结果，否则视为</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对验收意见无异议。如该批次产品在最终验收时，出现开箱破损或者故障，无法进行最终验收的，</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无条件给予更换新机并保证最终验收的顺畅进行。若</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不同意更换新机或者配合，采购单位有权直接于中标供应商的履约保证金中扣除该批次产品及安装的等额费用，该条款可能造成的成本费用包含在</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的总报价中。</w:t>
      </w:r>
    </w:p>
    <w:p w14:paraId="3E9C16BE">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10</w:t>
      </w:r>
      <w:r>
        <w:rPr>
          <w:rFonts w:hint="eastAsia" w:ascii="宋体" w:hAnsi="宋体" w:cs="Times New Roman"/>
          <w:b/>
          <w:color w:val="auto"/>
          <w:sz w:val="24"/>
          <w:szCs w:val="24"/>
          <w:highlight w:val="none"/>
        </w:rPr>
        <w:t>、</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若中标，因</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产品给采购单位造成的客诉，若</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在接到采购单位通知后3个日历日内无法解决客诉，采购单位有权自行解决客诉，并直接于</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的履约保证金中扣除解决客诉所产生的费用。</w:t>
      </w:r>
    </w:p>
    <w:p w14:paraId="0589F3BE">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11、</w:t>
      </w:r>
      <w:r>
        <w:rPr>
          <w:rFonts w:hint="eastAsia" w:ascii="宋体" w:hAnsi="宋体" w:cs="Times New Roman"/>
          <w:b/>
          <w:color w:val="auto"/>
          <w:sz w:val="24"/>
          <w:szCs w:val="24"/>
          <w:highlight w:val="none"/>
        </w:rPr>
        <w:t>投标人须在投标文件中书面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p w14:paraId="48446126">
      <w:pPr>
        <w:adjustRightInd w:val="0"/>
        <w:snapToGrid w:val="0"/>
        <w:spacing w:line="360" w:lineRule="auto"/>
        <w:ind w:firstLine="472" w:firstLineChars="196"/>
        <w:jc w:val="left"/>
        <w:rPr>
          <w:rFonts w:ascii="宋体" w:hAnsi="宋体"/>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12、</w:t>
      </w:r>
      <w:r>
        <w:rPr>
          <w:rFonts w:ascii="宋体" w:hAnsi="宋体" w:cs="Times New Roman"/>
          <w:b/>
          <w:color w:val="auto"/>
          <w:sz w:val="24"/>
          <w:szCs w:val="24"/>
          <w:highlight w:val="none"/>
        </w:rPr>
        <w:t>投标人对合同条款的任何负偏离将导致废标。</w:t>
      </w:r>
    </w:p>
    <w:p w14:paraId="5CD33A91">
      <w:pPr>
        <w:keepNext w:val="0"/>
        <w:keepLines w:val="0"/>
        <w:widowControl w:val="0"/>
        <w:suppressLineNumbers w:val="0"/>
        <w:adjustRightInd w:val="0"/>
        <w:snapToGrid w:val="0"/>
        <w:spacing w:before="0" w:beforeAutospacing="0" w:after="0" w:afterAutospacing="0" w:line="360" w:lineRule="auto"/>
        <w:ind w:left="0" w:right="0" w:firstLine="472" w:firstLineChars="196"/>
        <w:jc w:val="both"/>
        <w:rPr>
          <w:rFonts w:ascii="宋体" w:hAnsi="宋体"/>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3</w:t>
      </w:r>
      <w:r>
        <w:rPr>
          <w:rFonts w:ascii="宋体" w:hAnsi="宋体" w:cs="Times New Roman"/>
          <w:b/>
          <w:color w:val="auto"/>
          <w:sz w:val="24"/>
          <w:szCs w:val="24"/>
          <w:highlight w:val="none"/>
        </w:rPr>
        <w:t>、对“一、</w:t>
      </w:r>
      <w:r>
        <w:rPr>
          <w:rFonts w:hint="eastAsia" w:ascii="宋体" w:hAnsi="宋体" w:cs="Times New Roman"/>
          <w:b/>
          <w:color w:val="auto"/>
          <w:sz w:val="24"/>
          <w:szCs w:val="24"/>
          <w:highlight w:val="none"/>
          <w:lang w:eastAsia="zh-CN"/>
        </w:rPr>
        <w:t>招标要求</w:t>
      </w:r>
      <w:r>
        <w:rPr>
          <w:rFonts w:ascii="宋体" w:hAnsi="宋体" w:cs="Times New Roman"/>
          <w:b/>
          <w:color w:val="auto"/>
          <w:sz w:val="24"/>
          <w:szCs w:val="24"/>
          <w:highlight w:val="none"/>
        </w:rPr>
        <w:t>”中带星号（“*”）的技术条款，投标人必须</w:t>
      </w:r>
      <w:r>
        <w:rPr>
          <w:rFonts w:hint="eastAsia" w:ascii="宋体" w:hAnsi="宋体" w:cs="宋体"/>
          <w:b/>
          <w:color w:val="auto"/>
          <w:sz w:val="24"/>
          <w:szCs w:val="24"/>
          <w:highlight w:val="none"/>
        </w:rPr>
        <w:t>在投标文件中提供产品宣传单页或产品说明书或厂家官网产品页截图</w:t>
      </w:r>
      <w:r>
        <w:rPr>
          <w:rFonts w:hint="eastAsia" w:ascii="宋体" w:hAnsi="宋体" w:eastAsia="宋体" w:cs="宋体"/>
          <w:b/>
          <w:bCs w:val="0"/>
          <w:color w:val="auto"/>
          <w:kern w:val="2"/>
          <w:sz w:val="24"/>
          <w:szCs w:val="24"/>
          <w:highlight w:val="none"/>
          <w:lang w:val="en-US" w:eastAsia="zh-CN" w:bidi="ar"/>
        </w:rPr>
        <w:t>（*适配符合安全可靠测评要求的计算机平台及符合安全可靠测评要求的操作系统，此条进行书面承诺即可）予以证明。</w:t>
      </w:r>
      <w:r>
        <w:rPr>
          <w:rFonts w:hint="eastAsia" w:ascii="宋体" w:hAnsi="宋体" w:cs="宋体"/>
          <w:b/>
          <w:color w:val="auto"/>
          <w:sz w:val="24"/>
          <w:szCs w:val="24"/>
          <w:highlight w:val="none"/>
        </w:rPr>
        <w:t>（加盖投标人公章，若投标人为联合体投标的，联合体中的其中一方盖章即可。）。</w:t>
      </w:r>
    </w:p>
    <w:p w14:paraId="7DDA476A">
      <w:pPr>
        <w:adjustRightInd w:val="0"/>
        <w:snapToGrid w:val="0"/>
        <w:spacing w:line="360" w:lineRule="auto"/>
        <w:ind w:firstLine="472" w:firstLineChars="196"/>
        <w:jc w:val="left"/>
        <w:rPr>
          <w:rFonts w:ascii="宋体" w:hAnsi="宋体" w:cs="宋体"/>
          <w:b/>
          <w:color w:val="auto"/>
          <w:sz w:val="24"/>
          <w:szCs w:val="24"/>
          <w:highlight w:val="none"/>
        </w:rPr>
      </w:pPr>
      <w:r>
        <w:rPr>
          <w:rFonts w:ascii="宋体" w:hAnsi="宋体" w:cs="宋体"/>
          <w:b/>
          <w:color w:val="auto"/>
          <w:sz w:val="24"/>
          <w:szCs w:val="24"/>
          <w:highlight w:val="none"/>
        </w:rPr>
        <w:t>*1</w:t>
      </w:r>
      <w:r>
        <w:rPr>
          <w:rFonts w:hint="eastAsia" w:ascii="宋体" w:hAnsi="宋体" w:cs="宋体"/>
          <w:b/>
          <w:color w:val="auto"/>
          <w:sz w:val="24"/>
          <w:szCs w:val="24"/>
          <w:highlight w:val="none"/>
          <w:lang w:val="en-US" w:eastAsia="zh-CN"/>
        </w:rPr>
        <w:t>4</w:t>
      </w:r>
      <w:r>
        <w:rPr>
          <w:rFonts w:ascii="宋体" w:hAnsi="宋体" w:cs="宋体"/>
          <w:b/>
          <w:color w:val="auto"/>
          <w:sz w:val="24"/>
          <w:szCs w:val="24"/>
          <w:highlight w:val="none"/>
        </w:rPr>
        <w:t>、凡属制造商的关联企业，其关联关系应符合《企业会计准则第36号——关联方披露（2006）》（财会[2006]3号）中“关联方关系”的要求，投标人应在投标文件中按后附格式提供《关联企业</w:t>
      </w:r>
      <w:r>
        <w:rPr>
          <w:rFonts w:hint="eastAsia" w:ascii="宋体" w:hAnsi="宋体" w:cs="宋体"/>
          <w:b/>
          <w:color w:val="auto"/>
          <w:sz w:val="24"/>
          <w:szCs w:val="24"/>
          <w:highlight w:val="none"/>
        </w:rPr>
        <w:t>证明》。</w:t>
      </w:r>
    </w:p>
    <w:p w14:paraId="36888627">
      <w:pPr>
        <w:spacing w:line="360" w:lineRule="auto"/>
        <w:rPr>
          <w:b/>
          <w:color w:val="auto"/>
          <w:sz w:val="24"/>
          <w:szCs w:val="24"/>
          <w:highlight w:val="none"/>
        </w:rPr>
      </w:pPr>
      <w:r>
        <w:rPr>
          <w:rFonts w:hint="eastAsia" w:ascii="Times New Roman" w:hAnsi="Times New Roman" w:cs="Times New Roman"/>
          <w:b/>
          <w:color w:val="auto"/>
          <w:sz w:val="24"/>
          <w:szCs w:val="24"/>
          <w:highlight w:val="none"/>
        </w:rPr>
        <w:t>附件：关联关系证明</w:t>
      </w:r>
    </w:p>
    <w:p w14:paraId="70AF285C">
      <w:pPr>
        <w:spacing w:line="360" w:lineRule="auto"/>
        <w:jc w:val="center"/>
        <w:rPr>
          <w:b/>
          <w:color w:val="auto"/>
          <w:sz w:val="24"/>
          <w:szCs w:val="24"/>
          <w:highlight w:val="none"/>
        </w:rPr>
      </w:pPr>
      <w:r>
        <w:rPr>
          <w:rFonts w:hint="eastAsia" w:ascii="Times New Roman" w:hAnsi="Times New Roman" w:cs="Times New Roman"/>
          <w:b/>
          <w:color w:val="auto"/>
          <w:sz w:val="24"/>
          <w:szCs w:val="24"/>
          <w:highlight w:val="none"/>
        </w:rPr>
        <w:t>关联企业证明</w:t>
      </w:r>
    </w:p>
    <w:p w14:paraId="502002C3">
      <w:pPr>
        <w:spacing w:line="360" w:lineRule="auto"/>
        <w:rPr>
          <w:b/>
          <w:color w:val="auto"/>
          <w:sz w:val="24"/>
          <w:szCs w:val="24"/>
          <w:highlight w:val="none"/>
        </w:rPr>
      </w:pPr>
      <w:r>
        <w:rPr>
          <w:rFonts w:hint="eastAsia" w:ascii="Times New Roman" w:hAnsi="Times New Roman" w:cs="Times New Roman"/>
          <w:b/>
          <w:color w:val="auto"/>
          <w:sz w:val="24"/>
          <w:szCs w:val="24"/>
          <w:highlight w:val="none"/>
        </w:rPr>
        <w:t>致：</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（采购代理机构）</w:t>
      </w:r>
      <w:r>
        <w:rPr>
          <w:rFonts w:ascii="Times New Roman" w:hAnsi="Times New Roman" w:cs="Times New Roman"/>
          <w:b/>
          <w:color w:val="auto"/>
          <w:sz w:val="24"/>
          <w:szCs w:val="24"/>
          <w:highlight w:val="none"/>
          <w:u w:val="single"/>
        </w:rPr>
        <w:t xml:space="preserve">  </w:t>
      </w:r>
    </w:p>
    <w:p w14:paraId="3C921A15">
      <w:pPr>
        <w:spacing w:line="360" w:lineRule="auto"/>
        <w:ind w:firstLine="482" w:firstLineChars="200"/>
        <w:rPr>
          <w:b/>
          <w:color w:val="auto"/>
          <w:sz w:val="24"/>
          <w:szCs w:val="24"/>
          <w:highlight w:val="none"/>
        </w:rPr>
      </w:pP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（制造商或制造商关联企业名称）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rPr>
        <w:t>现在此声明，根据本项目招标文件的要求</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（制造商关联企业名称）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是</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rPr>
        <w:t>的关联企业，</w:t>
      </w:r>
    </w:p>
    <w:p w14:paraId="2CF3BF32">
      <w:pPr>
        <w:spacing w:line="360" w:lineRule="auto"/>
        <w:ind w:firstLine="482" w:firstLineChars="200"/>
        <w:rPr>
          <w:b/>
          <w:color w:val="auto"/>
          <w:sz w:val="24"/>
          <w:szCs w:val="24"/>
          <w:highlight w:val="none"/>
        </w:rPr>
      </w:pPr>
      <w:r>
        <w:rPr>
          <w:rFonts w:hint="eastAsia" w:ascii="Times New Roman" w:hAnsi="Times New Roman" w:cs="Times New Roman"/>
          <w:b/>
          <w:color w:val="auto"/>
          <w:sz w:val="24"/>
          <w:szCs w:val="24"/>
          <w:highlight w:val="none"/>
        </w:rPr>
        <w:t>特此证明。</w:t>
      </w:r>
    </w:p>
    <w:p w14:paraId="27DCBCB7">
      <w:pPr>
        <w:spacing w:line="360" w:lineRule="auto"/>
        <w:ind w:firstLine="482" w:firstLineChars="200"/>
        <w:rPr>
          <w:b/>
          <w:color w:val="auto"/>
          <w:sz w:val="24"/>
          <w:szCs w:val="24"/>
          <w:highlight w:val="none"/>
        </w:rPr>
      </w:pPr>
    </w:p>
    <w:p w14:paraId="34DCA7C1">
      <w:pPr>
        <w:spacing w:line="360" w:lineRule="auto"/>
        <w:ind w:firstLine="482" w:firstLineChars="200"/>
        <w:rPr>
          <w:b/>
          <w:color w:val="auto"/>
          <w:sz w:val="24"/>
          <w:szCs w:val="24"/>
          <w:highlight w:val="none"/>
          <w:u w:val="single"/>
        </w:rPr>
      </w:pPr>
      <w:r>
        <w:rPr>
          <w:rFonts w:hint="eastAsia" w:ascii="Times New Roman" w:hAnsi="Times New Roman" w:cs="Times New Roman"/>
          <w:b/>
          <w:color w:val="auto"/>
          <w:sz w:val="24"/>
          <w:szCs w:val="24"/>
          <w:highlight w:val="none"/>
        </w:rPr>
        <w:t>制造商或制造商关联企业名称</w:t>
      </w:r>
      <w:r>
        <w:rPr>
          <w:rFonts w:hint="eastAsia" w:ascii="Times New Roman" w:hAnsi="Times New Roman" w:cs="Times New Roman"/>
          <w:b/>
          <w:color w:val="auto"/>
          <w:sz w:val="24"/>
          <w:szCs w:val="24"/>
          <w:highlight w:val="none"/>
          <w:u w:val="single"/>
        </w:rPr>
        <w:t>：</w:t>
      </w:r>
      <w:r>
        <w:rPr>
          <w:rFonts w:ascii="Times New Roman" w:hAnsi="Times New Roman" w:cs="Times New Roman"/>
          <w:b/>
          <w:color w:val="auto"/>
          <w:sz w:val="24"/>
          <w:szCs w:val="24"/>
          <w:highlight w:val="none"/>
          <w:u w:val="single"/>
        </w:rPr>
        <w:t xml:space="preserve">                            </w:t>
      </w:r>
    </w:p>
    <w:p w14:paraId="7C6B9145">
      <w:pPr>
        <w:spacing w:line="360" w:lineRule="auto"/>
        <w:ind w:firstLine="482" w:firstLineChars="200"/>
        <w:rPr>
          <w:b/>
          <w:color w:val="auto"/>
          <w:sz w:val="24"/>
          <w:szCs w:val="24"/>
          <w:highlight w:val="none"/>
        </w:rPr>
      </w:pPr>
      <w:r>
        <w:rPr>
          <w:rFonts w:ascii="Times New Roman" w:hAnsi="Times New Roman" w:cs="Times New Roman"/>
          <w:b/>
          <w:color w:val="auto"/>
          <w:sz w:val="24"/>
          <w:szCs w:val="24"/>
          <w:highlight w:val="none"/>
        </w:rPr>
        <w:t xml:space="preserve">      </w:t>
      </w:r>
      <w:r>
        <w:rPr>
          <w:rFonts w:hint="eastAsia" w:ascii="Times New Roman" w:hAnsi="Times New Roman" w:cs="Times New Roman"/>
          <w:b/>
          <w:color w:val="auto"/>
          <w:sz w:val="24"/>
          <w:szCs w:val="24"/>
          <w:highlight w:val="none"/>
        </w:rPr>
        <w:t>（盖章）</w:t>
      </w:r>
      <w:r>
        <w:rPr>
          <w:rFonts w:ascii="Times New Roman" w:hAnsi="Times New Roman" w:cs="Times New Roman"/>
          <w:b/>
          <w:color w:val="auto"/>
          <w:sz w:val="24"/>
          <w:szCs w:val="24"/>
          <w:highlight w:val="none"/>
        </w:rPr>
        <w:t xml:space="preserve">                       </w:t>
      </w:r>
      <w:r>
        <w:rPr>
          <w:rFonts w:hint="eastAsia" w:ascii="Times New Roman" w:hAnsi="Times New Roman" w:cs="Times New Roman"/>
          <w:b/>
          <w:color w:val="auto"/>
          <w:sz w:val="24"/>
          <w:szCs w:val="24"/>
          <w:highlight w:val="none"/>
        </w:rPr>
        <w:t>日期：</w:t>
      </w:r>
    </w:p>
    <w:p w14:paraId="508B2A5F">
      <w:pPr>
        <w:spacing w:line="360" w:lineRule="auto"/>
        <w:ind w:firstLine="482" w:firstLineChars="200"/>
        <w:rPr>
          <w:rFonts w:ascii="宋体" w:hAnsi="宋体"/>
          <w:b/>
          <w:color w:val="auto"/>
          <w:sz w:val="24"/>
          <w:szCs w:val="24"/>
          <w:highlight w:val="none"/>
        </w:rPr>
      </w:pPr>
    </w:p>
    <w:p w14:paraId="1D2720D8">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5</w:t>
      </w:r>
      <w:r>
        <w:rPr>
          <w:rFonts w:ascii="宋体" w:hAnsi="宋体" w:cs="Times New Roman"/>
          <w:b/>
          <w:color w:val="auto"/>
          <w:sz w:val="24"/>
          <w:szCs w:val="24"/>
          <w:highlight w:val="none"/>
        </w:rPr>
        <w:t>、投标人所投标设备应符合国家强制性产品认证标准的要求，获得CCC认证证书，并在投标文件中提供CCC认证证书的复印件。</w:t>
      </w:r>
    </w:p>
    <w:p w14:paraId="13B1A8FE">
      <w:pPr>
        <w:spacing w:line="360" w:lineRule="auto"/>
        <w:ind w:firstLine="482" w:firstLineChars="200"/>
        <w:rPr>
          <w:rFonts w:hint="eastAsia" w:ascii="宋体" w:hAnsi="宋体" w:cs="Times New Roman"/>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6</w:t>
      </w:r>
      <w:r>
        <w:rPr>
          <w:rFonts w:ascii="宋体" w:hAnsi="宋体" w:cs="Times New Roman"/>
          <w:b/>
          <w:color w:val="auto"/>
          <w:sz w:val="24"/>
          <w:szCs w:val="24"/>
          <w:highlight w:val="none"/>
        </w:rPr>
        <w:t>、所投产品必须获得政府采购节能产品认证（激光打印机类）。投标人应在投标文件中提供其所投产品节能证书复印件</w:t>
      </w:r>
      <w:r>
        <w:rPr>
          <w:rFonts w:hint="eastAsia" w:ascii="宋体" w:hAnsi="宋体" w:cs="Times New Roman"/>
          <w:b/>
          <w:color w:val="auto"/>
          <w:sz w:val="24"/>
          <w:szCs w:val="24"/>
          <w:highlight w:val="none"/>
        </w:rPr>
        <w:t>（加盖投标人公章）。</w:t>
      </w:r>
    </w:p>
    <w:p w14:paraId="37B47C7F">
      <w:pPr>
        <w:numPr>
          <w:ilvl w:val="-1"/>
          <w:numId w:val="0"/>
        </w:numPr>
        <w:spacing w:line="360" w:lineRule="auto"/>
        <w:ind w:firstLine="0" w:firstLineChars="0"/>
        <w:rPr>
          <w:rFonts w:hint="eastAsia" w:ascii="宋体" w:hAnsi="宋体"/>
          <w:b w:val="0"/>
          <w:bCs/>
          <w:color w:val="auto"/>
          <w:sz w:val="24"/>
          <w:szCs w:val="24"/>
          <w:highlight w:val="none"/>
        </w:rPr>
      </w:pPr>
      <w:r>
        <w:rPr>
          <w:rFonts w:hint="default" w:ascii="宋体" w:hAnsi="宋体"/>
          <w:b w:val="0"/>
          <w:bCs/>
          <w:color w:val="auto"/>
          <w:sz w:val="24"/>
          <w:szCs w:val="24"/>
          <w:highlight w:val="none"/>
        </w:rPr>
        <w:t xml:space="preserve">    17、</w:t>
      </w:r>
      <w:r>
        <w:rPr>
          <w:rFonts w:hint="eastAsia" w:ascii="宋体" w:hAnsi="宋体"/>
          <w:b w:val="0"/>
          <w:bCs/>
          <w:color w:val="auto"/>
          <w:sz w:val="24"/>
          <w:szCs w:val="24"/>
          <w:highlight w:val="none"/>
        </w:rPr>
        <w:t>投标人应当遵循诚实信用原则，不得作虚假承诺，投标人承诺不实的，属于提供虚假材料谋取中标、成交，应依法承担相应的法律责任。投标人提供虚假</w:t>
      </w:r>
      <w:r>
        <w:rPr>
          <w:rFonts w:hint="eastAsia" w:ascii="宋体" w:hAnsi="宋体"/>
          <w:b w:val="0"/>
          <w:bCs/>
          <w:color w:val="auto"/>
          <w:sz w:val="24"/>
          <w:szCs w:val="24"/>
          <w:highlight w:val="none"/>
          <w:lang w:eastAsia="zh-CN"/>
        </w:rPr>
        <w:t>材料</w:t>
      </w:r>
      <w:r>
        <w:rPr>
          <w:rFonts w:hint="eastAsia" w:ascii="宋体" w:hAnsi="宋体"/>
          <w:b w:val="0"/>
          <w:bCs/>
          <w:color w:val="auto"/>
          <w:sz w:val="24"/>
          <w:szCs w:val="24"/>
          <w:highlight w:val="none"/>
        </w:rPr>
        <w:t>，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人、招标代理机构将有关情况上报政府采购监管部门，由监管部门按有关规定对其进行相应处罚。采购人、招标代理机构有权上报财政部门，建议财政部门将该投标人列入不良行为记录名单，在一至三年内禁止该投标人参加政府采购活动并予以通报。</w:t>
      </w:r>
    </w:p>
    <w:p w14:paraId="6952D5DF">
      <w:pPr>
        <w:spacing w:line="420" w:lineRule="auto"/>
        <w:rPr>
          <w:b/>
          <w:color w:val="auto"/>
          <w:sz w:val="28"/>
          <w:szCs w:val="28"/>
          <w:highlight w:val="none"/>
        </w:rPr>
      </w:pPr>
      <w:r>
        <w:rPr>
          <w:rFonts w:hint="eastAsia" w:cs="Times New Roman"/>
          <w:b/>
          <w:color w:val="auto"/>
          <w:sz w:val="28"/>
          <w:szCs w:val="28"/>
          <w:highlight w:val="none"/>
          <w:lang w:eastAsia="zh-CN"/>
        </w:rPr>
        <w:t>五</w:t>
      </w:r>
      <w:r>
        <w:rPr>
          <w:rFonts w:hint="eastAsia" w:ascii="Times New Roman" w:hAnsi="Times New Roman" w:cs="Times New Roman"/>
          <w:b/>
          <w:color w:val="auto"/>
          <w:sz w:val="28"/>
          <w:szCs w:val="28"/>
          <w:highlight w:val="none"/>
        </w:rPr>
        <w:t>、付款方式</w:t>
      </w:r>
    </w:p>
    <w:p w14:paraId="44623E93">
      <w:pPr>
        <w:spacing w:line="360" w:lineRule="auto"/>
        <w:ind w:firstLine="482" w:firstLineChars="200"/>
        <w:rPr>
          <w:rFonts w:ascii="宋体" w:hAnsi="宋体"/>
          <w:b/>
          <w:color w:val="auto"/>
          <w:sz w:val="24"/>
          <w:szCs w:val="24"/>
          <w:highlight w:val="none"/>
        </w:rPr>
      </w:pPr>
      <w:r>
        <w:rPr>
          <w:rFonts w:hint="eastAsia" w:ascii="宋体" w:hAnsi="宋体" w:cs="宋体"/>
          <w:b/>
          <w:color w:val="auto"/>
          <w:sz w:val="24"/>
          <w:szCs w:val="24"/>
          <w:highlight w:val="none"/>
        </w:rPr>
        <w:t>投标人</w:t>
      </w:r>
      <w:r>
        <w:rPr>
          <w:rFonts w:hint="eastAsia" w:ascii="宋体" w:hAnsi="宋体" w:cs="Times New Roman"/>
          <w:b/>
          <w:color w:val="auto"/>
          <w:sz w:val="24"/>
          <w:szCs w:val="24"/>
          <w:highlight w:val="none"/>
        </w:rPr>
        <w:t>须对以下条款承诺：</w:t>
      </w:r>
    </w:p>
    <w:p w14:paraId="060DABDC">
      <w:pPr>
        <w:spacing w:line="360" w:lineRule="auto"/>
        <w:ind w:firstLine="482" w:firstLineChars="200"/>
        <w:rPr>
          <w:rFonts w:hint="eastAsia" w:ascii="宋体" w:hAnsi="宋体" w:cs="Times New Roman"/>
          <w:b/>
          <w:color w:val="auto"/>
          <w:sz w:val="24"/>
          <w:szCs w:val="24"/>
          <w:highlight w:val="none"/>
        </w:rPr>
      </w:pPr>
      <w:r>
        <w:rPr>
          <w:rFonts w:ascii="宋体" w:hAnsi="宋体" w:cs="Times New Roman"/>
          <w:b/>
          <w:color w:val="auto"/>
          <w:sz w:val="24"/>
          <w:szCs w:val="24"/>
          <w:highlight w:val="none"/>
        </w:rPr>
        <w:t>*1、</w:t>
      </w:r>
      <w:r>
        <w:rPr>
          <w:rFonts w:hint="eastAsia" w:ascii="宋体" w:hAnsi="宋体" w:eastAsia="宋体" w:cs="宋体"/>
          <w:b/>
          <w:color w:val="auto"/>
          <w:sz w:val="24"/>
          <w:szCs w:val="24"/>
          <w:highlight w:val="none"/>
        </w:rPr>
        <w:t>中标供应商</w:t>
      </w:r>
      <w:r>
        <w:rPr>
          <w:rFonts w:ascii="宋体" w:hAnsi="宋体" w:cs="Times New Roman"/>
          <w:b/>
          <w:color w:val="auto"/>
          <w:sz w:val="24"/>
          <w:szCs w:val="24"/>
          <w:highlight w:val="none"/>
        </w:rPr>
        <w:t>应</w:t>
      </w:r>
      <w:r>
        <w:rPr>
          <w:rFonts w:hint="eastAsia" w:ascii="宋体" w:hAnsi="宋体" w:cs="Times New Roman"/>
          <w:b/>
          <w:color w:val="auto"/>
          <w:sz w:val="24"/>
          <w:szCs w:val="24"/>
          <w:highlight w:val="none"/>
        </w:rPr>
        <w:t>在合同签订之日起7个日历日内向采购单位缴交合同总金额</w:t>
      </w:r>
      <w:r>
        <w:rPr>
          <w:rFonts w:hint="eastAsia" w:ascii="宋体" w:hAnsi="宋体" w:cs="Times New Roman"/>
          <w:b/>
          <w:color w:val="auto"/>
          <w:sz w:val="24"/>
          <w:szCs w:val="24"/>
          <w:highlight w:val="none"/>
          <w:lang w:val="en-US" w:eastAsia="zh-CN"/>
        </w:rPr>
        <w:t>2</w:t>
      </w:r>
      <w:r>
        <w:rPr>
          <w:rFonts w:hint="eastAsia" w:ascii="宋体" w:hAnsi="宋体" w:cs="Times New Roman"/>
          <w:b/>
          <w:color w:val="auto"/>
          <w:sz w:val="24"/>
          <w:szCs w:val="24"/>
          <w:highlight w:val="none"/>
        </w:rPr>
        <w:t>%的供货履约保证金及合同总金额</w:t>
      </w:r>
      <w:r>
        <w:rPr>
          <w:rFonts w:hint="eastAsia" w:ascii="宋体" w:hAnsi="宋体" w:cs="Times New Roman"/>
          <w:b/>
          <w:color w:val="auto"/>
          <w:sz w:val="24"/>
          <w:szCs w:val="24"/>
          <w:highlight w:val="none"/>
          <w:lang w:val="en-US" w:eastAsia="zh-CN"/>
        </w:rPr>
        <w:t>3</w:t>
      </w:r>
      <w:r>
        <w:rPr>
          <w:rFonts w:hint="eastAsia" w:ascii="宋体" w:hAnsi="宋体" w:cs="Times New Roman"/>
          <w:b/>
          <w:color w:val="auto"/>
          <w:sz w:val="24"/>
          <w:szCs w:val="24"/>
          <w:highlight w:val="none"/>
        </w:rPr>
        <w:t>%的服务履约保证金。供货履约保证金，采购单位于本合同有效期满且最后一批次货物供货完成后</w:t>
      </w:r>
      <w:r>
        <w:rPr>
          <w:rFonts w:hint="eastAsia" w:ascii="宋体" w:hAnsi="宋体" w:cs="Times New Roman"/>
          <w:b/>
          <w:color w:val="auto"/>
          <w:sz w:val="24"/>
          <w:szCs w:val="24"/>
          <w:highlight w:val="none"/>
          <w:lang w:val="en-US" w:eastAsia="zh-CN"/>
        </w:rPr>
        <w:t>2</w:t>
      </w:r>
      <w:r>
        <w:rPr>
          <w:rFonts w:ascii="宋体" w:hAnsi="宋体" w:cs="Times New Roman"/>
          <w:b/>
          <w:color w:val="auto"/>
          <w:sz w:val="24"/>
          <w:szCs w:val="24"/>
          <w:highlight w:val="none"/>
        </w:rPr>
        <w:t>0</w:t>
      </w:r>
      <w:r>
        <w:rPr>
          <w:rFonts w:hint="eastAsia" w:ascii="宋体" w:hAnsi="宋体" w:cs="Times New Roman"/>
          <w:b/>
          <w:color w:val="auto"/>
          <w:sz w:val="24"/>
          <w:szCs w:val="24"/>
          <w:highlight w:val="none"/>
        </w:rPr>
        <w:t>个工作日内一次性无息支付给</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（扣除相应的违约金、赔偿金）。服务履约保证金，采购单位于本合同有效期内最后一批次货物保修期届满后</w:t>
      </w:r>
      <w:r>
        <w:rPr>
          <w:rFonts w:hint="eastAsia" w:ascii="宋体" w:hAnsi="宋体" w:cs="Times New Roman"/>
          <w:b/>
          <w:color w:val="auto"/>
          <w:sz w:val="24"/>
          <w:szCs w:val="24"/>
          <w:highlight w:val="none"/>
          <w:lang w:val="en-US" w:eastAsia="zh-CN"/>
        </w:rPr>
        <w:t>2</w:t>
      </w:r>
      <w:r>
        <w:rPr>
          <w:rFonts w:ascii="宋体" w:hAnsi="宋体" w:cs="Times New Roman"/>
          <w:b/>
          <w:color w:val="auto"/>
          <w:sz w:val="24"/>
          <w:szCs w:val="24"/>
          <w:highlight w:val="none"/>
        </w:rPr>
        <w:t>0</w:t>
      </w:r>
      <w:r>
        <w:rPr>
          <w:rFonts w:hint="eastAsia" w:ascii="宋体" w:hAnsi="宋体" w:cs="Times New Roman"/>
          <w:b/>
          <w:color w:val="auto"/>
          <w:sz w:val="24"/>
          <w:szCs w:val="24"/>
          <w:highlight w:val="none"/>
        </w:rPr>
        <w:t>个工作日内一次性无息支付给</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（扣除相应的违约金、赔偿金）</w:t>
      </w:r>
    </w:p>
    <w:p w14:paraId="372F23F6">
      <w:pPr>
        <w:spacing w:line="360" w:lineRule="auto"/>
        <w:ind w:firstLine="482" w:firstLineChars="200"/>
        <w:rPr>
          <w:rFonts w:hint="eastAsia" w:ascii="宋体" w:hAnsi="宋体" w:cs="Times New Roman"/>
          <w:b/>
          <w:color w:val="auto"/>
          <w:sz w:val="24"/>
          <w:szCs w:val="24"/>
          <w:highlight w:val="none"/>
        </w:rPr>
      </w:pP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因违约行为导致履约保证金被</w:t>
      </w:r>
      <w:r>
        <w:rPr>
          <w:rFonts w:ascii="宋体" w:hAnsi="宋体" w:cs="Times New Roman"/>
          <w:b/>
          <w:color w:val="auto"/>
          <w:sz w:val="24"/>
          <w:szCs w:val="24"/>
          <w:highlight w:val="none"/>
        </w:rPr>
        <w:t>采购单位</w:t>
      </w:r>
      <w:r>
        <w:rPr>
          <w:rFonts w:hint="eastAsia" w:ascii="宋体" w:hAnsi="宋体" w:cs="Times New Roman"/>
          <w:b/>
          <w:color w:val="auto"/>
          <w:sz w:val="24"/>
          <w:szCs w:val="24"/>
          <w:highlight w:val="none"/>
        </w:rPr>
        <w:t>扣除的，</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应于被扣除之日起7个日历日内补足，使履约保证金金额满足</w:t>
      </w:r>
      <w:r>
        <w:rPr>
          <w:rFonts w:hint="eastAsia" w:ascii="宋体" w:hAnsi="宋体" w:cs="Times New Roman"/>
          <w:b/>
          <w:color w:val="auto"/>
          <w:sz w:val="24"/>
          <w:szCs w:val="24"/>
          <w:highlight w:val="none"/>
          <w:lang w:eastAsia="zh-CN"/>
        </w:rPr>
        <w:t>上述</w:t>
      </w:r>
      <w:r>
        <w:rPr>
          <w:rFonts w:hint="eastAsia" w:ascii="宋体" w:hAnsi="宋体" w:cs="Times New Roman"/>
          <w:b/>
          <w:color w:val="auto"/>
          <w:sz w:val="24"/>
          <w:szCs w:val="24"/>
          <w:highlight w:val="none"/>
        </w:rPr>
        <w:t>约定的要求。</w:t>
      </w:r>
    </w:p>
    <w:p w14:paraId="694026CA">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*2、交货方式：合同签订后分批供货，按批次支付货款。</w:t>
      </w:r>
    </w:p>
    <w:p w14:paraId="1F7C7CE0">
      <w:pPr>
        <w:spacing w:line="360" w:lineRule="auto"/>
        <w:ind w:right="-99" w:rightChars="-47" w:firstLine="482" w:firstLineChars="200"/>
        <w:rPr>
          <w:rFonts w:ascii="宋体" w:hAnsi="宋体"/>
          <w:b/>
          <w:color w:val="auto"/>
          <w:sz w:val="24"/>
          <w:szCs w:val="24"/>
          <w:highlight w:val="none"/>
        </w:rPr>
      </w:pPr>
      <w:r>
        <w:rPr>
          <w:rFonts w:ascii="宋体" w:hAnsi="宋体" w:cs="Times New Roman"/>
          <w:b/>
          <w:color w:val="auto"/>
          <w:sz w:val="24"/>
          <w:szCs w:val="24"/>
          <w:highlight w:val="none"/>
        </w:rPr>
        <w:t>*3、货交采购单位仓库的，经采购单位初验合格后，采购单位凭</w:t>
      </w:r>
      <w:r>
        <w:rPr>
          <w:rFonts w:hint="eastAsia" w:ascii="宋体" w:hAnsi="宋体" w:cs="Times New Roman"/>
          <w:b/>
          <w:color w:val="auto"/>
          <w:sz w:val="24"/>
          <w:szCs w:val="24"/>
          <w:highlight w:val="none"/>
        </w:rPr>
        <w:t>如下单证和文件</w:t>
      </w:r>
      <w:r>
        <w:rPr>
          <w:rFonts w:ascii="宋体" w:hAnsi="宋体" w:cs="Times New Roman"/>
          <w:b/>
          <w:color w:val="auto"/>
          <w:sz w:val="24"/>
          <w:szCs w:val="24"/>
          <w:highlight w:val="none"/>
        </w:rPr>
        <w:t xml:space="preserve">在 45 </w:t>
      </w:r>
      <w:r>
        <w:rPr>
          <w:rFonts w:hint="eastAsia" w:ascii="宋体" w:hAnsi="宋体" w:cs="Times New Roman"/>
          <w:b/>
          <w:color w:val="auto"/>
          <w:sz w:val="24"/>
          <w:szCs w:val="24"/>
          <w:highlight w:val="none"/>
        </w:rPr>
        <w:t>个日历日内向</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一次性支付至该批次货款的</w:t>
      </w:r>
      <w:r>
        <w:rPr>
          <w:rFonts w:ascii="宋体" w:hAnsi="宋体" w:cs="Times New Roman"/>
          <w:b/>
          <w:color w:val="auto"/>
          <w:sz w:val="24"/>
          <w:szCs w:val="24"/>
          <w:highlight w:val="none"/>
        </w:rPr>
        <w:t xml:space="preserve"> 100 %。</w:t>
      </w:r>
    </w:p>
    <w:p w14:paraId="37FB2F76">
      <w:pPr>
        <w:spacing w:line="360" w:lineRule="auto"/>
        <w:ind w:right="-99" w:rightChars="-47" w:firstLine="482" w:firstLineChars="200"/>
        <w:rPr>
          <w:rFonts w:ascii="宋体" w:hAnsi="宋体"/>
          <w:b/>
          <w:color w:val="auto"/>
          <w:sz w:val="24"/>
          <w:szCs w:val="24"/>
          <w:highlight w:val="none"/>
        </w:rPr>
      </w:pP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要求付款应提交下列单证和文件：</w:t>
      </w:r>
    </w:p>
    <w:p w14:paraId="33B4D1BA">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a.金额为</w:t>
      </w:r>
      <w:sdt>
        <w:sdtPr>
          <w:rPr>
            <w:rFonts w:hint="eastAsia" w:ascii="宋体" w:hAnsi="宋体" w:cs="Times New Roman"/>
            <w:b/>
            <w:color w:val="auto"/>
            <w:sz w:val="24"/>
            <w:szCs w:val="24"/>
            <w:highlight w:val="none"/>
            <w:lang w:val="en-US" w:eastAsia="zh-CN"/>
          </w:rPr>
          <w:id w:val="147459560"/>
          <w:placeholder>
            <w:docPart w:val="{dee2276e-db14-4c52-97fb-93a1220bdf18}"/>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100%</w:t>
          </w:r>
        </w:sdtContent>
      </w:sdt>
      <w:r>
        <w:rPr>
          <w:rFonts w:hint="eastAsia" w:ascii="宋体" w:hAnsi="宋体" w:cs="Times New Roman"/>
          <w:b/>
          <w:color w:val="auto"/>
          <w:sz w:val="24"/>
          <w:szCs w:val="24"/>
          <w:highlight w:val="none"/>
        </w:rPr>
        <w:t>的该批次货款的一般纳税人增值税专用发票；</w:t>
      </w:r>
    </w:p>
    <w:p w14:paraId="07EE4EC0">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b.</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已缴纳该批货物的中标/成交服务费和二次配送费用、仓储操作费的证明材料；</w:t>
      </w:r>
    </w:p>
    <w:p w14:paraId="0D0F6233">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c.</w:t>
      </w:r>
      <w:r>
        <w:rPr>
          <w:rFonts w:ascii="宋体" w:hAnsi="宋体" w:cs="Times New Roman"/>
          <w:b/>
          <w:color w:val="auto"/>
          <w:sz w:val="24"/>
          <w:szCs w:val="24"/>
          <w:highlight w:val="none"/>
        </w:rPr>
        <w:t>采购单位</w:t>
      </w:r>
      <w:r>
        <w:rPr>
          <w:rFonts w:hint="eastAsia" w:ascii="宋体" w:hAnsi="宋体" w:cs="Times New Roman"/>
          <w:b/>
          <w:color w:val="auto"/>
          <w:sz w:val="24"/>
          <w:szCs w:val="24"/>
          <w:highlight w:val="none"/>
        </w:rPr>
        <w:t>已收讫的该批次货物的《签收单》。</w:t>
      </w:r>
    </w:p>
    <w:p w14:paraId="45901B1A">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货物直送最终用户的，该批次货物经安装调试完毕并经最终验收合格后，</w:t>
      </w:r>
      <w:r>
        <w:rPr>
          <w:rFonts w:hint="eastAsia" w:ascii="宋体" w:hAnsi="宋体" w:cs="Times New Roman"/>
          <w:b/>
          <w:color w:val="auto"/>
          <w:sz w:val="24"/>
          <w:szCs w:val="24"/>
          <w:highlight w:val="none"/>
          <w:lang w:eastAsia="zh-CN"/>
        </w:rPr>
        <w:t>采购单位</w:t>
      </w:r>
      <w:r>
        <w:rPr>
          <w:rFonts w:hint="eastAsia" w:ascii="宋体" w:hAnsi="宋体" w:cs="Times New Roman"/>
          <w:b/>
          <w:color w:val="auto"/>
          <w:sz w:val="24"/>
          <w:szCs w:val="24"/>
          <w:highlight w:val="none"/>
        </w:rPr>
        <w:t>凭如下单证和文件在</w:t>
      </w:r>
      <w:sdt>
        <w:sdtPr>
          <w:rPr>
            <w:rFonts w:hint="eastAsia" w:ascii="宋体" w:hAnsi="宋体" w:cs="Times New Roman"/>
            <w:b/>
            <w:color w:val="auto"/>
            <w:sz w:val="24"/>
            <w:szCs w:val="24"/>
            <w:highlight w:val="none"/>
            <w:lang w:val="en-US" w:eastAsia="zh-CN"/>
          </w:rPr>
          <w:id w:val="147459410"/>
          <w:placeholder>
            <w:docPart w:val="{728d478d-ab35-4cae-bf60-d3b21b884c8f}"/>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45</w:t>
          </w:r>
        </w:sdtContent>
      </w:sdt>
      <w:r>
        <w:rPr>
          <w:rFonts w:hint="eastAsia" w:ascii="宋体" w:hAnsi="宋体" w:cs="Times New Roman"/>
          <w:b/>
          <w:color w:val="auto"/>
          <w:sz w:val="24"/>
          <w:szCs w:val="24"/>
          <w:highlight w:val="none"/>
        </w:rPr>
        <w:t>个日历日内向</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一次性付清该批次货款的</w:t>
      </w:r>
      <w:sdt>
        <w:sdtPr>
          <w:rPr>
            <w:rFonts w:hint="eastAsia" w:ascii="宋体" w:hAnsi="宋体" w:cs="Times New Roman"/>
            <w:b/>
            <w:color w:val="auto"/>
            <w:sz w:val="24"/>
            <w:szCs w:val="24"/>
            <w:highlight w:val="none"/>
            <w:lang w:val="en-US" w:eastAsia="zh-CN"/>
          </w:rPr>
          <w:id w:val="147459387"/>
          <w:placeholder>
            <w:docPart w:val="{33becd65-a107-4e79-b303-3045ae72a831}"/>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全款</w:t>
          </w:r>
        </w:sdtContent>
      </w:sdt>
      <w:r>
        <w:rPr>
          <w:rFonts w:hint="eastAsia" w:ascii="宋体" w:hAnsi="宋体" w:cs="Times New Roman"/>
          <w:b/>
          <w:color w:val="auto"/>
          <w:sz w:val="24"/>
          <w:szCs w:val="24"/>
          <w:highlight w:val="none"/>
        </w:rPr>
        <w:t>。</w:t>
      </w:r>
    </w:p>
    <w:p w14:paraId="25370D0D">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a.金额为</w:t>
      </w:r>
      <w:sdt>
        <w:sdtPr>
          <w:rPr>
            <w:rFonts w:hint="eastAsia" w:ascii="宋体" w:hAnsi="宋体" w:cs="Times New Roman"/>
            <w:b/>
            <w:color w:val="auto"/>
            <w:sz w:val="24"/>
            <w:szCs w:val="24"/>
            <w:highlight w:val="none"/>
            <w:lang w:val="en-US" w:eastAsia="zh-CN"/>
          </w:rPr>
          <w:id w:val="147459358"/>
          <w:placeholder>
            <w:docPart w:val="{4c023f47-70a9-4d89-a823-1d5d1c5c1533}"/>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100%</w:t>
          </w:r>
        </w:sdtContent>
      </w:sdt>
      <w:r>
        <w:rPr>
          <w:rFonts w:hint="eastAsia" w:ascii="宋体" w:hAnsi="宋体" w:cs="Times New Roman"/>
          <w:b/>
          <w:color w:val="auto"/>
          <w:sz w:val="24"/>
          <w:szCs w:val="24"/>
          <w:highlight w:val="none"/>
        </w:rPr>
        <w:t>的该批次货款的一般纳税人增值税专用发票；</w:t>
      </w:r>
    </w:p>
    <w:p w14:paraId="13F2C68D">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b.</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已缴纳该批货物的成交服务费的证明材料；</w:t>
      </w:r>
    </w:p>
    <w:p w14:paraId="0638C123">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c.该批次货物的《验收报告》(经最终用户签署)。</w:t>
      </w:r>
    </w:p>
    <w:p w14:paraId="647AC4F7">
      <w:pPr>
        <w:tabs>
          <w:tab w:val="left" w:pos="5130"/>
        </w:tabs>
        <w:spacing w:line="360" w:lineRule="auto"/>
        <w:ind w:firstLine="482" w:firstLineChars="200"/>
        <w:rPr>
          <w:rFonts w:ascii="宋体" w:hAnsi="宋体" w:cs="宋体"/>
          <w:color w:val="auto"/>
          <w:sz w:val="24"/>
          <w:szCs w:val="24"/>
          <w:highlight w:val="none"/>
        </w:rPr>
      </w:pPr>
      <w:r>
        <w:rPr>
          <w:rFonts w:hint="eastAsia" w:ascii="宋体" w:hAnsi="宋体" w:cs="Times New Roman"/>
          <w:b/>
          <w:color w:val="auto"/>
          <w:sz w:val="24"/>
          <w:szCs w:val="24"/>
          <w:highlight w:val="none"/>
        </w:rPr>
        <w:t>备注：</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可提出比以上内容更有利于采购单位的付款方式。</w:t>
      </w:r>
    </w:p>
    <w:p w14:paraId="0A7DDF63">
      <w:pPr>
        <w:spacing w:line="360" w:lineRule="auto"/>
        <w:rPr>
          <w:rFonts w:ascii="宋体" w:hAnsi="宋体" w:cs="宋体"/>
          <w:b/>
          <w:color w:val="auto"/>
          <w:kern w:val="0"/>
          <w:sz w:val="28"/>
          <w:szCs w:val="28"/>
          <w:highlight w:val="none"/>
        </w:rPr>
      </w:pPr>
      <w:r>
        <w:rPr>
          <w:rFonts w:hint="eastAsia" w:ascii="宋体" w:hAnsi="宋体" w:cs="宋体"/>
          <w:b/>
          <w:color w:val="auto"/>
          <w:kern w:val="0"/>
          <w:sz w:val="28"/>
          <w:szCs w:val="28"/>
          <w:highlight w:val="none"/>
          <w:lang w:eastAsia="zh-CN"/>
        </w:rPr>
        <w:t>六</w:t>
      </w:r>
      <w:r>
        <w:rPr>
          <w:rFonts w:hint="eastAsia" w:ascii="宋体" w:hAnsi="宋体" w:cs="宋体"/>
          <w:b/>
          <w:color w:val="auto"/>
          <w:kern w:val="0"/>
          <w:sz w:val="28"/>
          <w:szCs w:val="28"/>
          <w:highlight w:val="none"/>
        </w:rPr>
        <w:t>、资格证明文件</w:t>
      </w:r>
    </w:p>
    <w:p w14:paraId="1A9D8907">
      <w:pPr>
        <w:snapToGrid w:val="0"/>
        <w:spacing w:line="360" w:lineRule="auto"/>
        <w:ind w:firstLine="472" w:firstLineChars="196"/>
        <w:rPr>
          <w:rFonts w:ascii="宋体" w:hAnsi="宋体" w:cs="宋体"/>
          <w:b/>
          <w:color w:val="auto"/>
          <w:sz w:val="24"/>
          <w:szCs w:val="24"/>
          <w:highlight w:val="none"/>
        </w:rPr>
      </w:pPr>
      <w:r>
        <w:rPr>
          <w:rFonts w:hint="eastAsia" w:ascii="宋体" w:hAnsi="宋体" w:cs="宋体"/>
          <w:b/>
          <w:color w:val="auto"/>
          <w:sz w:val="24"/>
          <w:szCs w:val="24"/>
          <w:highlight w:val="none"/>
        </w:rPr>
        <w:t>*1、</w:t>
      </w:r>
      <w:r>
        <w:rPr>
          <w:rFonts w:hint="eastAsia" w:ascii="宋体" w:hAnsi="宋体" w:cs="宋体"/>
          <w:b/>
          <w:color w:val="auto"/>
          <w:sz w:val="24"/>
          <w:szCs w:val="24"/>
          <w:highlight w:val="none"/>
          <w:lang w:eastAsia="zh-CN"/>
        </w:rPr>
        <w:t>投标</w:t>
      </w:r>
      <w:r>
        <w:rPr>
          <w:rFonts w:hint="eastAsia" w:ascii="宋体" w:hAnsi="宋体" w:cs="宋体"/>
          <w:b/>
          <w:color w:val="auto"/>
          <w:sz w:val="24"/>
          <w:szCs w:val="24"/>
          <w:highlight w:val="none"/>
        </w:rPr>
        <w:t>人应提供工商营业执照（副本）（加盖公章）的复印件，提供税务登记证及组织机构代码证复印件。</w:t>
      </w:r>
      <w:r>
        <w:rPr>
          <w:rFonts w:hint="eastAsia" w:ascii="宋体" w:hAnsi="宋体" w:cs="宋体"/>
          <w:b/>
          <w:color w:val="auto"/>
          <w:sz w:val="24"/>
          <w:szCs w:val="24"/>
          <w:highlight w:val="none"/>
          <w:lang w:eastAsia="zh-CN"/>
        </w:rPr>
        <w:t>投标</w:t>
      </w:r>
      <w:r>
        <w:rPr>
          <w:rFonts w:hint="eastAsia" w:ascii="宋体" w:hAnsi="宋体" w:cs="宋体"/>
          <w:b/>
          <w:color w:val="auto"/>
          <w:sz w:val="24"/>
          <w:szCs w:val="24"/>
          <w:highlight w:val="none"/>
        </w:rPr>
        <w:t>人已提供加载有统一社会信用代码营业执照的，视为已提供税务登记证和组织机构代码证。</w:t>
      </w:r>
    </w:p>
    <w:p w14:paraId="392D01ED">
      <w:pPr>
        <w:spacing w:line="360" w:lineRule="auto"/>
        <w:ind w:firstLine="482" w:firstLineChars="200"/>
        <w:rPr>
          <w:rFonts w:ascii="宋体" w:hAnsi="宋体" w:cs="Arial"/>
          <w:b/>
          <w:bCs/>
          <w:color w:val="auto"/>
          <w:sz w:val="24"/>
          <w:szCs w:val="24"/>
          <w:highlight w:val="none"/>
        </w:rPr>
      </w:pPr>
      <w:r>
        <w:rPr>
          <w:rFonts w:hint="eastAsia" w:ascii="宋体" w:hAnsi="宋体" w:cs="Arial"/>
          <w:b/>
          <w:bCs/>
          <w:color w:val="auto"/>
          <w:sz w:val="24"/>
          <w:szCs w:val="24"/>
          <w:highlight w:val="none"/>
        </w:rPr>
        <w:t>*2、</w:t>
      </w:r>
      <w:r>
        <w:rPr>
          <w:rFonts w:hint="eastAsia" w:ascii="宋体" w:hAnsi="宋体" w:cs="宋体"/>
          <w:b/>
          <w:color w:val="auto"/>
          <w:sz w:val="24"/>
          <w:szCs w:val="24"/>
          <w:highlight w:val="none"/>
          <w:lang w:eastAsia="zh-CN"/>
        </w:rPr>
        <w:t>投标</w:t>
      </w:r>
      <w:r>
        <w:rPr>
          <w:rFonts w:hint="eastAsia" w:ascii="宋体" w:hAnsi="宋体" w:cs="Arial"/>
          <w:b/>
          <w:bCs/>
          <w:color w:val="auto"/>
          <w:sz w:val="24"/>
          <w:szCs w:val="24"/>
          <w:highlight w:val="none"/>
        </w:rPr>
        <w:t>人全权代表若不是单位负责人，应提供单位授权书原件，并提供被授权代表身份证复印件。</w:t>
      </w:r>
    </w:p>
    <w:p w14:paraId="15CCC827">
      <w:pPr>
        <w:tabs>
          <w:tab w:val="left" w:pos="5130"/>
        </w:tabs>
        <w:spacing w:line="360" w:lineRule="auto"/>
        <w:ind w:firstLine="480" w:firstLineChars="200"/>
        <w:rPr>
          <w:rFonts w:hint="eastAsia" w:ascii="宋体" w:hAnsi="宋体" w:eastAsia="宋体" w:cs="宋体"/>
          <w:color w:val="auto"/>
          <w:sz w:val="24"/>
          <w:szCs w:val="24"/>
          <w:highlight w:val="none"/>
        </w:rPr>
      </w:pPr>
    </w:p>
    <w:p w14:paraId="4CD86258">
      <w:pPr>
        <w:tabs>
          <w:tab w:val="left" w:pos="5130"/>
        </w:tabs>
        <w:spacing w:line="360" w:lineRule="auto"/>
        <w:ind w:firstLine="480" w:firstLineChars="200"/>
        <w:rPr>
          <w:rFonts w:hint="eastAsia" w:ascii="宋体" w:hAnsi="宋体" w:eastAsia="宋体" w:cs="宋体"/>
          <w:color w:val="auto"/>
          <w:sz w:val="24"/>
          <w:szCs w:val="24"/>
          <w:highlight w:val="none"/>
        </w:rPr>
      </w:pPr>
    </w:p>
    <w:p w14:paraId="0420D775">
      <w:pPr>
        <w:tabs>
          <w:tab w:val="left" w:pos="5130"/>
        </w:tabs>
        <w:spacing w:line="360" w:lineRule="auto"/>
        <w:ind w:firstLine="480" w:firstLineChars="200"/>
        <w:rPr>
          <w:rFonts w:hint="eastAsia" w:ascii="宋体" w:hAnsi="宋体" w:eastAsia="宋体" w:cs="宋体"/>
          <w:color w:val="auto"/>
          <w:sz w:val="24"/>
          <w:szCs w:val="24"/>
          <w:highlight w:val="none"/>
        </w:rPr>
      </w:pPr>
    </w:p>
    <w:p w14:paraId="6E662E06">
      <w:pPr>
        <w:tabs>
          <w:tab w:val="left" w:pos="5130"/>
        </w:tabs>
        <w:spacing w:line="360" w:lineRule="auto"/>
        <w:ind w:firstLine="480" w:firstLineChars="200"/>
        <w:rPr>
          <w:rFonts w:hint="eastAsia" w:ascii="宋体" w:hAnsi="宋体" w:eastAsia="宋体" w:cs="宋体"/>
          <w:color w:val="auto"/>
          <w:sz w:val="24"/>
          <w:szCs w:val="24"/>
          <w:highlight w:val="none"/>
        </w:rPr>
      </w:pPr>
    </w:p>
    <w:p w14:paraId="3D21FC23">
      <w:pPr>
        <w:tabs>
          <w:tab w:val="left" w:pos="5130"/>
        </w:tabs>
        <w:spacing w:line="360" w:lineRule="auto"/>
        <w:ind w:firstLine="480" w:firstLineChars="200"/>
        <w:rPr>
          <w:rFonts w:hint="eastAsia" w:ascii="宋体" w:hAnsi="宋体" w:eastAsia="宋体" w:cs="宋体"/>
          <w:color w:val="auto"/>
          <w:sz w:val="24"/>
          <w:szCs w:val="24"/>
          <w:highlight w:val="none"/>
        </w:rPr>
      </w:pPr>
    </w:p>
    <w:p w14:paraId="3C098028">
      <w:pPr>
        <w:tabs>
          <w:tab w:val="left" w:pos="5130"/>
        </w:tabs>
        <w:spacing w:line="360" w:lineRule="auto"/>
        <w:ind w:firstLine="480" w:firstLineChars="200"/>
        <w:rPr>
          <w:rFonts w:hint="eastAsia" w:ascii="宋体" w:hAnsi="宋体" w:eastAsia="宋体" w:cs="宋体"/>
          <w:color w:val="auto"/>
          <w:sz w:val="24"/>
          <w:szCs w:val="24"/>
          <w:highlight w:val="none"/>
        </w:rPr>
      </w:pPr>
    </w:p>
    <w:p w14:paraId="220E4E3D">
      <w:pPr>
        <w:tabs>
          <w:tab w:val="left" w:pos="5130"/>
        </w:tabs>
        <w:spacing w:line="360" w:lineRule="auto"/>
        <w:ind w:firstLine="480" w:firstLineChars="200"/>
        <w:rPr>
          <w:rFonts w:hint="eastAsia" w:ascii="宋体" w:hAnsi="宋体" w:eastAsia="宋体" w:cs="宋体"/>
          <w:color w:val="auto"/>
          <w:sz w:val="24"/>
          <w:szCs w:val="24"/>
          <w:highlight w:val="none"/>
        </w:rPr>
      </w:pPr>
    </w:p>
    <w:p w14:paraId="094EF91E">
      <w:pPr>
        <w:tabs>
          <w:tab w:val="left" w:pos="5130"/>
        </w:tabs>
        <w:spacing w:line="360" w:lineRule="auto"/>
        <w:ind w:firstLine="480" w:firstLineChars="200"/>
        <w:rPr>
          <w:rFonts w:hint="eastAsia" w:ascii="宋体" w:hAnsi="宋体" w:eastAsia="宋体" w:cs="宋体"/>
          <w:color w:val="auto"/>
          <w:sz w:val="24"/>
          <w:szCs w:val="24"/>
          <w:highlight w:val="none"/>
        </w:rPr>
      </w:pPr>
    </w:p>
    <w:p w14:paraId="4F863206">
      <w:pPr>
        <w:tabs>
          <w:tab w:val="left" w:pos="5130"/>
        </w:tabs>
        <w:spacing w:line="360" w:lineRule="auto"/>
        <w:ind w:firstLine="480" w:firstLineChars="200"/>
        <w:rPr>
          <w:rFonts w:hint="eastAsia" w:ascii="宋体" w:hAnsi="宋体" w:eastAsia="宋体" w:cs="宋体"/>
          <w:color w:val="auto"/>
          <w:sz w:val="24"/>
          <w:szCs w:val="24"/>
          <w:highlight w:val="none"/>
        </w:rPr>
      </w:pPr>
    </w:p>
    <w:p w14:paraId="12D1716C">
      <w:pPr>
        <w:tabs>
          <w:tab w:val="left" w:pos="5130"/>
        </w:tabs>
        <w:spacing w:line="360" w:lineRule="auto"/>
        <w:ind w:firstLine="480" w:firstLineChars="200"/>
        <w:rPr>
          <w:rFonts w:hint="eastAsia" w:ascii="宋体" w:hAnsi="宋体" w:eastAsia="宋体" w:cs="宋体"/>
          <w:color w:val="auto"/>
          <w:sz w:val="24"/>
          <w:szCs w:val="24"/>
          <w:highlight w:val="none"/>
        </w:rPr>
      </w:pPr>
    </w:p>
    <w:p w14:paraId="614DCE59">
      <w:pPr>
        <w:tabs>
          <w:tab w:val="left" w:pos="5130"/>
        </w:tabs>
        <w:spacing w:line="360" w:lineRule="auto"/>
        <w:ind w:firstLine="480" w:firstLineChars="200"/>
        <w:rPr>
          <w:rFonts w:hint="eastAsia" w:ascii="宋体" w:hAnsi="宋体" w:eastAsia="宋体" w:cs="宋体"/>
          <w:color w:val="auto"/>
          <w:sz w:val="24"/>
          <w:szCs w:val="24"/>
          <w:highlight w:val="none"/>
        </w:rPr>
      </w:pPr>
    </w:p>
    <w:p w14:paraId="368A8494">
      <w:pPr>
        <w:tabs>
          <w:tab w:val="left" w:pos="5130"/>
        </w:tabs>
        <w:spacing w:line="360" w:lineRule="auto"/>
        <w:ind w:firstLine="480" w:firstLineChars="200"/>
        <w:rPr>
          <w:rFonts w:hint="eastAsia" w:ascii="宋体" w:hAnsi="宋体" w:eastAsia="宋体" w:cs="宋体"/>
          <w:color w:val="auto"/>
          <w:sz w:val="24"/>
          <w:szCs w:val="24"/>
          <w:highlight w:val="none"/>
        </w:rPr>
      </w:pPr>
    </w:p>
    <w:p w14:paraId="439B1C75">
      <w:pPr>
        <w:tabs>
          <w:tab w:val="left" w:pos="5130"/>
        </w:tabs>
        <w:spacing w:line="360" w:lineRule="auto"/>
        <w:ind w:firstLine="480" w:firstLineChars="200"/>
        <w:rPr>
          <w:rFonts w:hint="eastAsia" w:ascii="宋体" w:hAnsi="宋体" w:eastAsia="宋体" w:cs="宋体"/>
          <w:color w:val="auto"/>
          <w:sz w:val="24"/>
          <w:szCs w:val="24"/>
          <w:highlight w:val="none"/>
        </w:rPr>
      </w:pPr>
    </w:p>
    <w:p w14:paraId="5E3D0C43">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78E22375">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6424BEA9">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468E7B67">
      <w:pPr>
        <w:spacing w:line="360" w:lineRule="auto"/>
        <w:rPr>
          <w:rFonts w:hint="eastAsia" w:ascii="宋体" w:hAnsi="宋体" w:eastAsia="宋体" w:cs="宋体"/>
          <w:b/>
          <w:color w:val="auto"/>
          <w:sz w:val="24"/>
          <w:szCs w:val="24"/>
          <w:highlight w:val="none"/>
        </w:rPr>
      </w:pPr>
    </w:p>
    <w:tbl>
      <w:tblPr>
        <w:tblStyle w:val="12"/>
        <w:tblW w:w="503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971"/>
        <w:gridCol w:w="1024"/>
        <w:gridCol w:w="4492"/>
        <w:gridCol w:w="942"/>
        <w:gridCol w:w="1008"/>
        <w:gridCol w:w="608"/>
      </w:tblGrid>
      <w:tr w14:paraId="3FC04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47" w:type="pct"/>
            <w:gridSpan w:val="4"/>
            <w:tcBorders>
              <w:top w:val="single" w:color="auto" w:sz="4" w:space="0"/>
              <w:left w:val="single" w:color="auto" w:sz="4" w:space="0"/>
              <w:bottom w:val="single" w:color="auto" w:sz="4" w:space="0"/>
              <w:right w:val="single" w:color="auto" w:sz="4" w:space="0"/>
            </w:tcBorders>
            <w:noWrap w:val="0"/>
            <w:vAlign w:val="center"/>
          </w:tcPr>
          <w:p w14:paraId="1B0B29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1252" w:type="pct"/>
            <w:gridSpan w:val="3"/>
            <w:tcBorders>
              <w:top w:val="single" w:color="auto" w:sz="4" w:space="0"/>
              <w:left w:val="single" w:color="auto" w:sz="4" w:space="0"/>
              <w:bottom w:val="single" w:color="auto" w:sz="4" w:space="0"/>
              <w:right w:val="single" w:color="auto" w:sz="4" w:space="0"/>
            </w:tcBorders>
            <w:noWrap w:val="0"/>
            <w:vAlign w:val="center"/>
          </w:tcPr>
          <w:p w14:paraId="171230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513AC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0" w:type="pct"/>
            <w:tcBorders>
              <w:top w:val="single" w:color="auto" w:sz="4" w:space="0"/>
              <w:left w:val="single" w:color="auto" w:sz="4" w:space="0"/>
              <w:bottom w:val="single" w:color="auto" w:sz="4" w:space="0"/>
              <w:right w:val="single" w:color="auto" w:sz="4" w:space="0"/>
            </w:tcBorders>
            <w:noWrap w:val="0"/>
            <w:vAlign w:val="center"/>
          </w:tcPr>
          <w:p w14:paraId="1F9EFCE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475" w:type="pct"/>
            <w:tcBorders>
              <w:top w:val="single" w:color="auto" w:sz="4" w:space="0"/>
              <w:left w:val="single" w:color="auto" w:sz="4" w:space="0"/>
              <w:bottom w:val="single" w:color="auto" w:sz="4" w:space="0"/>
              <w:right w:val="single" w:color="auto" w:sz="4" w:space="0"/>
            </w:tcBorders>
            <w:noWrap w:val="0"/>
            <w:vAlign w:val="center"/>
          </w:tcPr>
          <w:p w14:paraId="19BFB9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3BF6C1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501" w:type="pct"/>
            <w:tcBorders>
              <w:top w:val="single" w:color="auto" w:sz="4" w:space="0"/>
              <w:left w:val="single" w:color="auto" w:sz="4" w:space="0"/>
              <w:bottom w:val="single" w:color="auto" w:sz="4" w:space="0"/>
              <w:right w:val="single" w:color="auto" w:sz="4" w:space="0"/>
            </w:tcBorders>
            <w:noWrap w:val="0"/>
            <w:vAlign w:val="center"/>
          </w:tcPr>
          <w:p w14:paraId="1EA5E69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026CB51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2199" w:type="pct"/>
            <w:tcBorders>
              <w:top w:val="single" w:color="auto" w:sz="4" w:space="0"/>
              <w:left w:val="single" w:color="auto" w:sz="4" w:space="0"/>
              <w:bottom w:val="single" w:color="auto" w:sz="4" w:space="0"/>
              <w:right w:val="single" w:color="auto" w:sz="4" w:space="0"/>
            </w:tcBorders>
            <w:noWrap w:val="0"/>
            <w:vAlign w:val="center"/>
          </w:tcPr>
          <w:p w14:paraId="6CE4A1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461" w:type="pct"/>
            <w:tcBorders>
              <w:top w:val="single" w:color="auto" w:sz="4" w:space="0"/>
              <w:left w:val="single" w:color="auto" w:sz="4" w:space="0"/>
              <w:bottom w:val="single" w:color="auto" w:sz="4" w:space="0"/>
              <w:right w:val="single" w:color="auto" w:sz="4" w:space="0"/>
            </w:tcBorders>
            <w:noWrap w:val="0"/>
            <w:vAlign w:val="center"/>
          </w:tcPr>
          <w:p w14:paraId="6C7F74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493" w:type="pct"/>
            <w:tcBorders>
              <w:top w:val="single" w:color="auto" w:sz="4" w:space="0"/>
              <w:left w:val="single" w:color="auto" w:sz="4" w:space="0"/>
              <w:bottom w:val="single" w:color="auto" w:sz="4" w:space="0"/>
              <w:right w:val="single" w:color="auto" w:sz="4" w:space="0"/>
            </w:tcBorders>
            <w:noWrap w:val="0"/>
            <w:vAlign w:val="center"/>
          </w:tcPr>
          <w:p w14:paraId="24378A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297" w:type="pct"/>
            <w:tcBorders>
              <w:top w:val="single" w:color="auto" w:sz="4" w:space="0"/>
              <w:left w:val="single" w:color="auto" w:sz="4" w:space="0"/>
              <w:bottom w:val="single" w:color="auto" w:sz="4" w:space="0"/>
              <w:right w:val="single" w:color="auto" w:sz="4" w:space="0"/>
            </w:tcBorders>
            <w:noWrap w:val="0"/>
            <w:vAlign w:val="center"/>
          </w:tcPr>
          <w:p w14:paraId="576028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0E7DA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0" w:type="pct"/>
            <w:vMerge w:val="restart"/>
            <w:tcBorders>
              <w:top w:val="single" w:color="auto" w:sz="4" w:space="0"/>
              <w:left w:val="single" w:color="auto" w:sz="4" w:space="0"/>
              <w:right w:val="single" w:color="auto" w:sz="4" w:space="0"/>
            </w:tcBorders>
            <w:noWrap w:val="0"/>
            <w:vAlign w:val="center"/>
          </w:tcPr>
          <w:p w14:paraId="767FB46E">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default" w:ascii="宋体" w:hAnsi="宋体" w:cs="宋体"/>
                <w:color w:val="auto"/>
                <w:sz w:val="24"/>
                <w:szCs w:val="24"/>
                <w:highlight w:val="none"/>
              </w:rPr>
              <w:t>XM2024-DZ0031</w:t>
            </w:r>
            <w:r>
              <w:rPr>
                <w:rFonts w:hint="eastAsia" w:ascii="宋体" w:hAnsi="宋体" w:cs="宋体"/>
                <w:color w:val="auto"/>
                <w:sz w:val="24"/>
                <w:szCs w:val="24"/>
                <w:highlight w:val="none"/>
                <w:lang w:val="en-US" w:eastAsia="zh-CN"/>
              </w:rPr>
              <w:t>C1</w:t>
            </w:r>
          </w:p>
        </w:tc>
        <w:tc>
          <w:tcPr>
            <w:tcW w:w="475" w:type="pct"/>
            <w:vMerge w:val="restart"/>
            <w:tcBorders>
              <w:top w:val="single" w:color="auto" w:sz="4" w:space="0"/>
              <w:left w:val="single" w:color="auto" w:sz="4" w:space="0"/>
              <w:right w:val="single" w:color="auto" w:sz="4" w:space="0"/>
            </w:tcBorders>
            <w:noWrap w:val="0"/>
            <w:vAlign w:val="center"/>
          </w:tcPr>
          <w:p w14:paraId="3C3212E6">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sz w:val="24"/>
                <w:szCs w:val="24"/>
                <w:highlight w:val="none"/>
              </w:rPr>
            </w:pPr>
            <w:r>
              <w:rPr>
                <w:rFonts w:hint="default" w:ascii="宋体" w:hAnsi="宋体" w:eastAsia="宋体" w:cs="宋体"/>
                <w:b w:val="0"/>
                <w:bCs w:val="0"/>
                <w:color w:val="auto"/>
                <w:kern w:val="2"/>
                <w:sz w:val="24"/>
                <w:szCs w:val="24"/>
                <w:highlight w:val="none"/>
                <w:lang w:val="en-US" w:eastAsia="zh-CN" w:bidi="ar"/>
              </w:rPr>
              <w:t>2024年大宗激光打印机</w:t>
            </w:r>
          </w:p>
        </w:tc>
        <w:tc>
          <w:tcPr>
            <w:tcW w:w="501" w:type="pct"/>
            <w:vMerge w:val="restart"/>
            <w:tcBorders>
              <w:top w:val="single" w:color="auto" w:sz="4" w:space="0"/>
              <w:left w:val="single" w:color="auto" w:sz="4" w:space="0"/>
              <w:right w:val="single" w:color="auto" w:sz="4" w:space="0"/>
            </w:tcBorders>
            <w:noWrap w:val="0"/>
            <w:vAlign w:val="center"/>
          </w:tcPr>
          <w:p w14:paraId="323C3C7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一</w:t>
            </w:r>
          </w:p>
        </w:tc>
        <w:tc>
          <w:tcPr>
            <w:tcW w:w="2199" w:type="pct"/>
            <w:tcBorders>
              <w:top w:val="single" w:color="auto" w:sz="4" w:space="0"/>
              <w:left w:val="single" w:color="auto" w:sz="4" w:space="0"/>
              <w:bottom w:val="single" w:color="auto" w:sz="4" w:space="0"/>
              <w:right w:val="single" w:color="auto" w:sz="4" w:space="0"/>
            </w:tcBorders>
            <w:noWrap w:val="0"/>
            <w:vAlign w:val="center"/>
          </w:tcPr>
          <w:p w14:paraId="15B3D878">
            <w:pPr>
              <w:keepNext w:val="0"/>
              <w:keepLines w:val="0"/>
              <w:widowControl w:val="0"/>
              <w:numPr>
                <w:ilvl w:val="0"/>
                <w:numId w:val="3"/>
              </w:numPr>
              <w:suppressLineNumbers w:val="0"/>
              <w:spacing w:before="0" w:beforeAutospacing="0" w:after="0" w:afterAutospacing="0" w:line="360" w:lineRule="auto"/>
              <w:ind w:left="0" w:right="0"/>
              <w:jc w:val="both"/>
              <w:rPr>
                <w:rFonts w:hint="default" w:ascii="宋体" w:hAnsi="宋体" w:cs="宋体"/>
                <w:color w:val="auto"/>
                <w:sz w:val="24"/>
                <w:szCs w:val="24"/>
                <w:highlight w:val="none"/>
              </w:rPr>
            </w:pPr>
            <w:r>
              <w:rPr>
                <w:rFonts w:hint="eastAsia" w:ascii="宋体" w:hAnsi="宋体" w:eastAsia="宋体" w:cs="宋体"/>
                <w:color w:val="auto"/>
                <w:sz w:val="24"/>
                <w:szCs w:val="24"/>
                <w:highlight w:val="none"/>
              </w:rPr>
              <w:t>招标要求</w:t>
            </w:r>
            <w:r>
              <w:rPr>
                <w:rFonts w:hint="default" w:ascii="宋体" w:hAnsi="宋体" w:cs="宋体"/>
                <w:color w:val="auto"/>
                <w:sz w:val="24"/>
                <w:szCs w:val="24"/>
                <w:highlight w:val="none"/>
              </w:rPr>
              <w:t>：</w:t>
            </w:r>
          </w:p>
          <w:p w14:paraId="208800AC">
            <w:pPr>
              <w:keepNext w:val="0"/>
              <w:keepLines w:val="0"/>
              <w:widowControl w:val="0"/>
              <w:numPr>
                <w:ilvl w:val="-1"/>
                <w:numId w:val="0"/>
              </w:numPr>
              <w:suppressLineNumbers w:val="0"/>
              <w:spacing w:before="0" w:beforeAutospacing="0" w:after="0" w:afterAutospacing="0" w:line="360" w:lineRule="auto"/>
              <w:ind w:left="0" w:right="0"/>
              <w:jc w:val="both"/>
              <w:rPr>
                <w:rFonts w:hint="default" w:ascii="宋体" w:hAnsi="宋体" w:cs="宋体"/>
                <w:color w:val="auto"/>
                <w:sz w:val="24"/>
                <w:szCs w:val="24"/>
                <w:highlight w:val="none"/>
              </w:rPr>
            </w:pPr>
            <w:r>
              <w:rPr>
                <w:rFonts w:hint="default" w:ascii="宋体" w:hAnsi="宋体" w:cs="宋体"/>
                <w:color w:val="auto"/>
                <w:sz w:val="24"/>
                <w:szCs w:val="24"/>
                <w:highlight w:val="none"/>
              </w:rPr>
              <w:t>详见“第三章招标内容及要求”</w:t>
            </w:r>
          </w:p>
        </w:tc>
        <w:tc>
          <w:tcPr>
            <w:tcW w:w="461" w:type="pct"/>
            <w:tcBorders>
              <w:top w:val="single" w:color="auto" w:sz="4" w:space="0"/>
              <w:left w:val="single" w:color="auto" w:sz="4" w:space="0"/>
              <w:bottom w:val="single" w:color="auto" w:sz="4" w:space="0"/>
              <w:right w:val="single" w:color="auto" w:sz="4" w:space="0"/>
            </w:tcBorders>
            <w:noWrap w:val="0"/>
            <w:vAlign w:val="center"/>
          </w:tcPr>
          <w:p w14:paraId="3E0865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3" w:type="pct"/>
            <w:tcBorders>
              <w:top w:val="single" w:color="auto" w:sz="4" w:space="0"/>
              <w:left w:val="single" w:color="auto" w:sz="4" w:space="0"/>
              <w:bottom w:val="single" w:color="auto" w:sz="4" w:space="0"/>
              <w:right w:val="single" w:color="auto" w:sz="4" w:space="0"/>
            </w:tcBorders>
            <w:noWrap w:val="0"/>
            <w:vAlign w:val="center"/>
          </w:tcPr>
          <w:p w14:paraId="76BE5C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97" w:type="pct"/>
            <w:tcBorders>
              <w:top w:val="single" w:color="auto" w:sz="4" w:space="0"/>
              <w:left w:val="single" w:color="auto" w:sz="4" w:space="0"/>
              <w:bottom w:val="single" w:color="auto" w:sz="4" w:space="0"/>
              <w:right w:val="single" w:color="auto" w:sz="4" w:space="0"/>
            </w:tcBorders>
            <w:noWrap w:val="0"/>
            <w:vAlign w:val="center"/>
          </w:tcPr>
          <w:p w14:paraId="5FCB76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4C14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0" w:type="pct"/>
            <w:vMerge w:val="continue"/>
            <w:tcBorders>
              <w:left w:val="single" w:color="auto" w:sz="4" w:space="0"/>
              <w:right w:val="single" w:color="auto" w:sz="4" w:space="0"/>
            </w:tcBorders>
            <w:noWrap w:val="0"/>
            <w:vAlign w:val="center"/>
          </w:tcPr>
          <w:p w14:paraId="4D91DF3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75" w:type="pct"/>
            <w:vMerge w:val="continue"/>
            <w:tcBorders>
              <w:left w:val="single" w:color="auto" w:sz="4" w:space="0"/>
              <w:right w:val="single" w:color="auto" w:sz="4" w:space="0"/>
            </w:tcBorders>
            <w:noWrap w:val="0"/>
            <w:vAlign w:val="center"/>
          </w:tcPr>
          <w:p w14:paraId="05EEEC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1" w:type="pct"/>
            <w:vMerge w:val="continue"/>
            <w:tcBorders>
              <w:left w:val="single" w:color="auto" w:sz="4" w:space="0"/>
              <w:right w:val="single" w:color="auto" w:sz="4" w:space="0"/>
            </w:tcBorders>
            <w:noWrap w:val="0"/>
            <w:vAlign w:val="center"/>
          </w:tcPr>
          <w:p w14:paraId="1AA22E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199" w:type="pct"/>
            <w:tcBorders>
              <w:top w:val="single" w:color="auto" w:sz="4" w:space="0"/>
              <w:left w:val="single" w:color="auto" w:sz="4" w:space="0"/>
              <w:bottom w:val="single" w:color="auto" w:sz="4" w:space="0"/>
              <w:right w:val="single" w:color="auto" w:sz="4" w:space="0"/>
            </w:tcBorders>
            <w:noWrap w:val="0"/>
            <w:vAlign w:val="center"/>
          </w:tcPr>
          <w:p w14:paraId="306B24B8">
            <w:pPr>
              <w:keepNext w:val="0"/>
              <w:keepLines w:val="0"/>
              <w:suppressLineNumbers w:val="0"/>
              <w:spacing w:before="0" w:beforeAutospacing="0" w:after="0" w:afterAutospacing="0" w:line="360" w:lineRule="auto"/>
              <w:ind w:left="0" w:right="0" w:firstLine="0"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p w14:paraId="5A17EE51">
            <w:pPr>
              <w:keepNext w:val="0"/>
              <w:keepLines w:val="0"/>
              <w:suppressLineNumbers w:val="0"/>
              <w:spacing w:before="0" w:beforeAutospacing="0" w:after="0" w:afterAutospacing="0" w:line="360" w:lineRule="auto"/>
              <w:ind w:left="0" w:right="0" w:firstLine="0"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须在投标文件中作出书面承诺：采购单位可调整各规格产品的实际供货数量；采购单位有权向厦门市政府机关事业单位和福建省内其他终端用户进行供货，投标人须提供相应的安装及售后服务保障，所需费用（不含福建省其他地市二次配送费用）已包含在总报价中。投标人承诺合同期内采购单位可增加各型号的采购数量，仍可按不高于中标价格执行。</w:t>
            </w:r>
          </w:p>
        </w:tc>
        <w:tc>
          <w:tcPr>
            <w:tcW w:w="461" w:type="pct"/>
            <w:tcBorders>
              <w:top w:val="single" w:color="auto" w:sz="4" w:space="0"/>
              <w:left w:val="single" w:color="auto" w:sz="4" w:space="0"/>
              <w:bottom w:val="single" w:color="auto" w:sz="4" w:space="0"/>
              <w:right w:val="single" w:color="auto" w:sz="4" w:space="0"/>
            </w:tcBorders>
            <w:noWrap w:val="0"/>
            <w:vAlign w:val="center"/>
          </w:tcPr>
          <w:p w14:paraId="391302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3" w:type="pct"/>
            <w:tcBorders>
              <w:top w:val="single" w:color="auto" w:sz="4" w:space="0"/>
              <w:left w:val="single" w:color="auto" w:sz="4" w:space="0"/>
              <w:bottom w:val="single" w:color="auto" w:sz="4" w:space="0"/>
              <w:right w:val="single" w:color="auto" w:sz="4" w:space="0"/>
            </w:tcBorders>
            <w:noWrap w:val="0"/>
            <w:vAlign w:val="center"/>
          </w:tcPr>
          <w:p w14:paraId="6DFE22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97" w:type="pct"/>
            <w:tcBorders>
              <w:top w:val="single" w:color="auto" w:sz="4" w:space="0"/>
              <w:left w:val="single" w:color="auto" w:sz="4" w:space="0"/>
              <w:bottom w:val="single" w:color="auto" w:sz="4" w:space="0"/>
              <w:right w:val="single" w:color="auto" w:sz="4" w:space="0"/>
            </w:tcBorders>
            <w:noWrap w:val="0"/>
            <w:vAlign w:val="center"/>
          </w:tcPr>
          <w:p w14:paraId="19A77A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662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0" w:type="pct"/>
            <w:vMerge w:val="continue"/>
            <w:tcBorders>
              <w:left w:val="single" w:color="auto" w:sz="4" w:space="0"/>
              <w:right w:val="single" w:color="auto" w:sz="4" w:space="0"/>
            </w:tcBorders>
            <w:noWrap w:val="0"/>
            <w:vAlign w:val="center"/>
          </w:tcPr>
          <w:p w14:paraId="1554C65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75" w:type="pct"/>
            <w:vMerge w:val="continue"/>
            <w:tcBorders>
              <w:left w:val="single" w:color="auto" w:sz="4" w:space="0"/>
              <w:right w:val="single" w:color="auto" w:sz="4" w:space="0"/>
            </w:tcBorders>
            <w:noWrap w:val="0"/>
            <w:vAlign w:val="center"/>
          </w:tcPr>
          <w:p w14:paraId="1B07F3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1" w:type="pct"/>
            <w:tcBorders>
              <w:top w:val="single" w:color="auto" w:sz="4" w:space="0"/>
              <w:left w:val="single" w:color="auto" w:sz="4" w:space="0"/>
              <w:right w:val="single" w:color="auto" w:sz="4" w:space="0"/>
            </w:tcBorders>
            <w:noWrap w:val="0"/>
            <w:vAlign w:val="center"/>
          </w:tcPr>
          <w:p w14:paraId="090E9F4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四</w:t>
            </w:r>
          </w:p>
        </w:tc>
        <w:tc>
          <w:tcPr>
            <w:tcW w:w="2199" w:type="pct"/>
            <w:tcBorders>
              <w:top w:val="single" w:color="auto" w:sz="4" w:space="0"/>
              <w:left w:val="single" w:color="auto" w:sz="4" w:space="0"/>
              <w:bottom w:val="single" w:color="auto" w:sz="4" w:space="0"/>
              <w:right w:val="single" w:color="auto" w:sz="4" w:space="0"/>
            </w:tcBorders>
            <w:noWrap w:val="0"/>
            <w:vAlign w:val="top"/>
          </w:tcPr>
          <w:p w14:paraId="583F1AF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b w:val="0"/>
                <w:bCs/>
                <w:color w:val="auto"/>
                <w:kern w:val="2"/>
                <w:sz w:val="24"/>
                <w:szCs w:val="24"/>
                <w:highlight w:val="none"/>
                <w:lang w:eastAsia="zh-CN" w:bidi="ar"/>
              </w:rPr>
              <w:t>17、</w:t>
            </w:r>
            <w:r>
              <w:rPr>
                <w:rFonts w:hint="eastAsia" w:ascii="宋体" w:hAnsi="宋体" w:eastAsia="宋体" w:cs="宋体"/>
                <w:b w:val="0"/>
                <w:bCs/>
                <w:color w:val="auto"/>
                <w:kern w:val="2"/>
                <w:sz w:val="24"/>
                <w:szCs w:val="24"/>
                <w:highlight w:val="none"/>
                <w:lang w:val="en-US" w:eastAsia="zh-CN" w:bidi="ar"/>
              </w:rPr>
              <w:t>投标人应当遵循诚实信用原则，不得作虚假承诺，投标人承诺不实的，属于提供虚假材料谋取中标、成交，应依法承担相应的法律责任。投标人提供虚假材料，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人、招标代理机构将有关情况上报政府采购监管部门，由监管部门按有关规定对其进行相应处罚。采购人、招标代理机构有权上报财政部门，建议财政部门将该投标人列入不良行为记录名单，在一至三年内禁止该投标人参加政府采购活动并予以通报。</w:t>
            </w:r>
          </w:p>
        </w:tc>
        <w:tc>
          <w:tcPr>
            <w:tcW w:w="461" w:type="pct"/>
            <w:tcBorders>
              <w:top w:val="single" w:color="auto" w:sz="4" w:space="0"/>
              <w:left w:val="single" w:color="auto" w:sz="4" w:space="0"/>
              <w:bottom w:val="single" w:color="auto" w:sz="4" w:space="0"/>
              <w:right w:val="single" w:color="auto" w:sz="4" w:space="0"/>
            </w:tcBorders>
            <w:noWrap w:val="0"/>
            <w:vAlign w:val="center"/>
          </w:tcPr>
          <w:p w14:paraId="260134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3" w:type="pct"/>
            <w:tcBorders>
              <w:top w:val="single" w:color="auto" w:sz="4" w:space="0"/>
              <w:left w:val="single" w:color="auto" w:sz="4" w:space="0"/>
              <w:bottom w:val="single" w:color="auto" w:sz="4" w:space="0"/>
              <w:right w:val="single" w:color="auto" w:sz="4" w:space="0"/>
            </w:tcBorders>
            <w:noWrap w:val="0"/>
            <w:vAlign w:val="center"/>
          </w:tcPr>
          <w:p w14:paraId="0E993C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97" w:type="pct"/>
            <w:tcBorders>
              <w:top w:val="single" w:color="auto" w:sz="4" w:space="0"/>
              <w:left w:val="single" w:color="auto" w:sz="4" w:space="0"/>
              <w:bottom w:val="single" w:color="auto" w:sz="4" w:space="0"/>
              <w:right w:val="single" w:color="auto" w:sz="4" w:space="0"/>
            </w:tcBorders>
            <w:noWrap w:val="0"/>
            <w:vAlign w:val="center"/>
          </w:tcPr>
          <w:p w14:paraId="3C0900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A4E2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0" w:type="pct"/>
            <w:vMerge w:val="continue"/>
            <w:tcBorders>
              <w:left w:val="single" w:color="auto" w:sz="4" w:space="0"/>
              <w:bottom w:val="single" w:color="auto" w:sz="4" w:space="0"/>
              <w:right w:val="single" w:color="auto" w:sz="4" w:space="0"/>
            </w:tcBorders>
            <w:noWrap w:val="0"/>
            <w:vAlign w:val="center"/>
          </w:tcPr>
          <w:p w14:paraId="5796F91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75" w:type="pct"/>
            <w:vMerge w:val="continue"/>
            <w:tcBorders>
              <w:left w:val="single" w:color="auto" w:sz="4" w:space="0"/>
              <w:bottom w:val="single" w:color="auto" w:sz="4" w:space="0"/>
              <w:right w:val="single" w:color="auto" w:sz="4" w:space="0"/>
            </w:tcBorders>
            <w:noWrap w:val="0"/>
            <w:vAlign w:val="center"/>
          </w:tcPr>
          <w:p w14:paraId="7DC0E7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701" w:type="pct"/>
            <w:gridSpan w:val="2"/>
            <w:tcBorders>
              <w:left w:val="single" w:color="auto" w:sz="4" w:space="0"/>
              <w:bottom w:val="single" w:color="auto" w:sz="4" w:space="0"/>
              <w:right w:val="single" w:color="auto" w:sz="4" w:space="0"/>
            </w:tcBorders>
            <w:noWrap w:val="0"/>
            <w:vAlign w:val="center"/>
          </w:tcPr>
          <w:p w14:paraId="61F7D907">
            <w:pPr>
              <w:pStyle w:val="6"/>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其他所有带*条款。</w:t>
            </w:r>
          </w:p>
        </w:tc>
        <w:tc>
          <w:tcPr>
            <w:tcW w:w="461" w:type="pct"/>
            <w:tcBorders>
              <w:top w:val="single" w:color="auto" w:sz="4" w:space="0"/>
              <w:left w:val="single" w:color="auto" w:sz="4" w:space="0"/>
              <w:bottom w:val="single" w:color="auto" w:sz="4" w:space="0"/>
              <w:right w:val="single" w:color="auto" w:sz="4" w:space="0"/>
            </w:tcBorders>
            <w:noWrap w:val="0"/>
            <w:vAlign w:val="center"/>
          </w:tcPr>
          <w:p w14:paraId="0549F0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3" w:type="pct"/>
            <w:tcBorders>
              <w:top w:val="single" w:color="auto" w:sz="4" w:space="0"/>
              <w:left w:val="single" w:color="auto" w:sz="4" w:space="0"/>
              <w:bottom w:val="single" w:color="auto" w:sz="4" w:space="0"/>
              <w:right w:val="single" w:color="auto" w:sz="4" w:space="0"/>
            </w:tcBorders>
            <w:noWrap w:val="0"/>
            <w:vAlign w:val="center"/>
          </w:tcPr>
          <w:p w14:paraId="77B411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97" w:type="pct"/>
            <w:tcBorders>
              <w:top w:val="single" w:color="auto" w:sz="4" w:space="0"/>
              <w:left w:val="single" w:color="auto" w:sz="4" w:space="0"/>
              <w:bottom w:val="single" w:color="auto" w:sz="4" w:space="0"/>
              <w:right w:val="single" w:color="auto" w:sz="4" w:space="0"/>
            </w:tcBorders>
            <w:noWrap w:val="0"/>
            <w:vAlign w:val="center"/>
          </w:tcPr>
          <w:p w14:paraId="61AD46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76EBC545">
      <w:pPr>
        <w:tabs>
          <w:tab w:val="left" w:pos="5130"/>
        </w:tabs>
        <w:spacing w:line="360" w:lineRule="auto"/>
        <w:ind w:firstLine="480" w:firstLineChars="200"/>
        <w:rPr>
          <w:rFonts w:hint="eastAsia" w:ascii="宋体" w:hAnsi="宋体" w:eastAsia="宋体" w:cs="宋体"/>
          <w:color w:val="auto"/>
          <w:sz w:val="24"/>
          <w:szCs w:val="24"/>
          <w:highlight w:val="none"/>
        </w:rPr>
      </w:pPr>
    </w:p>
    <w:p w14:paraId="5BB0C87F">
      <w:pPr>
        <w:tabs>
          <w:tab w:val="left" w:pos="5130"/>
        </w:tabs>
        <w:spacing w:line="360" w:lineRule="auto"/>
        <w:ind w:firstLine="480" w:firstLineChars="200"/>
        <w:rPr>
          <w:rFonts w:hint="eastAsia" w:ascii="宋体" w:hAnsi="宋体" w:eastAsia="宋体" w:cs="宋体"/>
          <w:color w:val="auto"/>
          <w:sz w:val="24"/>
          <w:szCs w:val="24"/>
          <w:highlight w:val="none"/>
        </w:rPr>
      </w:pPr>
    </w:p>
    <w:p w14:paraId="71F60FA4">
      <w:pPr>
        <w:spacing w:line="360" w:lineRule="auto"/>
        <w:rPr>
          <w:rFonts w:hint="eastAsia" w:ascii="宋体" w:hAnsi="宋体" w:eastAsia="宋体" w:cs="宋体"/>
          <w:color w:val="auto"/>
          <w:sz w:val="24"/>
          <w:szCs w:val="24"/>
          <w:highlight w:val="none"/>
        </w:rPr>
      </w:pPr>
    </w:p>
    <w:p w14:paraId="329A36D4">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0A80545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6D4D7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val="0"/>
            <w:vAlign w:val="top"/>
          </w:tcPr>
          <w:p w14:paraId="5498111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0CA978D8">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65C074A5">
      <w:pPr>
        <w:spacing w:line="360" w:lineRule="auto"/>
        <w:jc w:val="center"/>
        <w:rPr>
          <w:rFonts w:ascii="宋体" w:hAnsi="宋体" w:eastAsia="宋体"/>
          <w:b/>
          <w:bCs/>
          <w:color w:val="auto"/>
          <w:sz w:val="32"/>
          <w:szCs w:val="32"/>
          <w:highlight w:val="none"/>
        </w:rPr>
      </w:pPr>
      <w:bookmarkStart w:id="0" w:name="htmc"/>
      <w:bookmarkEnd w:id="0"/>
      <w:r>
        <w:rPr>
          <w:rFonts w:hint="eastAsia" w:ascii="宋体" w:hAnsi="宋体"/>
          <w:b/>
          <w:bCs/>
          <w:color w:val="auto"/>
          <w:sz w:val="32"/>
          <w:szCs w:val="32"/>
          <w:highlight w:val="none"/>
          <w:u w:val="none"/>
        </w:rPr>
        <w:t>大宗激光打印机</w:t>
      </w:r>
      <w:r>
        <w:rPr>
          <w:rFonts w:hint="eastAsia" w:ascii="宋体" w:hAnsi="宋体"/>
          <w:b/>
          <w:bCs/>
          <w:color w:val="auto"/>
          <w:sz w:val="32"/>
          <w:szCs w:val="32"/>
          <w:highlight w:val="none"/>
        </w:rPr>
        <w:t>采购合同</w:t>
      </w:r>
    </w:p>
    <w:p w14:paraId="5BFD05E8">
      <w:pPr>
        <w:spacing w:line="360" w:lineRule="auto"/>
        <w:ind w:left="-284"/>
        <w:jc w:val="center"/>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合同编号：</w:t>
      </w:r>
      <w:bookmarkStart w:id="1" w:name="jfhtbh"/>
      <w:bookmarkEnd w:id="1"/>
    </w:p>
    <w:p w14:paraId="72461C4E">
      <w:pPr>
        <w:adjustRightInd w:val="0"/>
        <w:snapToGrid w:val="0"/>
        <w:spacing w:line="360" w:lineRule="auto"/>
        <w:rPr>
          <w:rFonts w:ascii="宋体" w:hAnsi="宋体" w:eastAsia="宋体"/>
          <w:color w:val="auto"/>
          <w:sz w:val="24"/>
          <w:szCs w:val="24"/>
          <w:highlight w:val="none"/>
        </w:rPr>
      </w:pPr>
      <w:r>
        <w:rPr>
          <w:rFonts w:hint="eastAsia" w:ascii="宋体" w:hAnsi="宋体" w:eastAsia="宋体"/>
          <w:color w:val="auto"/>
          <w:sz w:val="24"/>
          <w:szCs w:val="24"/>
          <w:highlight w:val="none"/>
        </w:rPr>
        <w:t>买方：</w:t>
      </w:r>
      <w:bookmarkStart w:id="2" w:name="jf"/>
      <w:bookmarkEnd w:id="2"/>
      <w:r>
        <w:rPr>
          <w:rFonts w:hint="eastAsia" w:ascii="宋体" w:hAnsi="宋体" w:eastAsia="宋体"/>
          <w:color w:val="auto"/>
          <w:sz w:val="24"/>
          <w:szCs w:val="24"/>
          <w:highlight w:val="none"/>
        </w:rPr>
        <w:t xml:space="preserve">                </w:t>
      </w:r>
    </w:p>
    <w:p w14:paraId="3BA35157">
      <w:pPr>
        <w:adjustRightInd w:val="0"/>
        <w:snapToGrid w:val="0"/>
        <w:spacing w:line="360" w:lineRule="auto"/>
        <w:jc w:val="left"/>
        <w:rPr>
          <w:rFonts w:ascii="宋体" w:hAnsi="宋体" w:eastAsia="宋体"/>
          <w:color w:val="auto"/>
          <w:sz w:val="24"/>
          <w:szCs w:val="24"/>
          <w:highlight w:val="none"/>
        </w:rPr>
      </w:pPr>
      <w:r>
        <w:rPr>
          <w:rFonts w:hint="eastAsia" w:ascii="宋体" w:hAnsi="宋体" w:eastAsia="宋体"/>
          <w:color w:val="auto"/>
          <w:sz w:val="24"/>
          <w:szCs w:val="24"/>
          <w:highlight w:val="none"/>
        </w:rPr>
        <w:t>卖方：</w:t>
      </w:r>
      <w:bookmarkStart w:id="3" w:name="yf"/>
    </w:p>
    <w:bookmarkEnd w:id="3"/>
    <w:p w14:paraId="107F6A65">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根据买方对进行采购（招标/项目编号：</w:t>
      </w:r>
      <w:bookmarkStart w:id="4" w:name="zbxmbh"/>
      <w:bookmarkEnd w:id="4"/>
      <w:r>
        <w:rPr>
          <w:rFonts w:hint="eastAsia" w:ascii="宋体" w:hAnsi="宋体" w:eastAsia="宋体"/>
          <w:color w:val="auto"/>
          <w:sz w:val="24"/>
          <w:szCs w:val="24"/>
          <w:highlight w:val="none"/>
        </w:rPr>
        <w:t>）的采购结果，现依照招标/采购文件、投标/报价文件及有关法律、法规、规章规定的内容，双方达成如下协议：</w:t>
      </w:r>
    </w:p>
    <w:p w14:paraId="757E1330">
      <w:pPr>
        <w:numPr>
          <w:ilvl w:val="0"/>
          <w:numId w:val="4"/>
        </w:numPr>
        <w:adjustRightInd w:val="0"/>
        <w:snapToGrid w:val="0"/>
        <w:spacing w:line="360" w:lineRule="auto"/>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合同标的物和合同价格</w:t>
      </w:r>
    </w:p>
    <w:p w14:paraId="747E126D">
      <w:pPr>
        <w:numPr>
          <w:ilvl w:val="0"/>
          <w:numId w:val="0"/>
        </w:numPr>
        <w:adjustRightInd w:val="0"/>
        <w:snapToGrid w:val="0"/>
        <w:spacing w:line="360" w:lineRule="auto"/>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rPr>
        <w:fldChar w:fldCharType="begin">
          <w:ffData>
            <w:name w:val="Text1"/>
            <w:enabled/>
            <w:calcOnExit w:val="0"/>
            <w:textInput/>
          </w:ffData>
        </w:fldChar>
      </w:r>
      <w:bookmarkStart w:id="5" w:name="Text1"/>
      <w:r>
        <w:rPr>
          <w:rFonts w:hint="eastAsia" w:ascii="宋体" w:hAnsi="宋体" w:eastAsia="宋体" w:cs="宋体"/>
          <w:b/>
          <w:color w:val="auto"/>
          <w:sz w:val="24"/>
          <w:szCs w:val="24"/>
          <w:highlight w:val="none"/>
        </w:rPr>
        <w:instrText xml:space="preserve">FORMTEXT</w:instrText>
      </w:r>
      <w:r>
        <w:rPr>
          <w:rFonts w:hint="eastAsia" w:ascii="宋体" w:hAnsi="宋体" w:eastAsia="宋体" w:cs="宋体"/>
          <w:b/>
          <w:color w:val="auto"/>
          <w:sz w:val="24"/>
          <w:szCs w:val="24"/>
          <w:highlight w:val="none"/>
        </w:rPr>
        <w:fldChar w:fldCharType="separate"/>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802"/>
        <w:gridCol w:w="1418"/>
        <w:gridCol w:w="1701"/>
        <w:gridCol w:w="1319"/>
        <w:gridCol w:w="1560"/>
      </w:tblGrid>
      <w:tr w14:paraId="6FAA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14:paraId="5DF36D05">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802" w:type="dxa"/>
            <w:vAlign w:val="center"/>
          </w:tcPr>
          <w:p w14:paraId="3F425A35">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vAlign w:val="center"/>
          </w:tcPr>
          <w:p w14:paraId="08D79098">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vAlign w:val="center"/>
          </w:tcPr>
          <w:p w14:paraId="53A36DF4">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单价（元/台）</w:t>
            </w:r>
          </w:p>
        </w:tc>
        <w:tc>
          <w:tcPr>
            <w:tcW w:w="1319" w:type="dxa"/>
            <w:vAlign w:val="center"/>
          </w:tcPr>
          <w:p w14:paraId="34DCB61B">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数量（台）</w:t>
            </w:r>
          </w:p>
        </w:tc>
        <w:tc>
          <w:tcPr>
            <w:tcW w:w="1560" w:type="dxa"/>
            <w:vAlign w:val="center"/>
          </w:tcPr>
          <w:p w14:paraId="6A9DAF24">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总金额（元）</w:t>
            </w:r>
          </w:p>
        </w:tc>
      </w:tr>
      <w:tr w14:paraId="21055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14:paraId="333C69F3">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802" w:type="dxa"/>
            <w:vAlign w:val="center"/>
          </w:tcPr>
          <w:p w14:paraId="7F5B0952">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418" w:type="dxa"/>
            <w:vAlign w:val="center"/>
          </w:tcPr>
          <w:p w14:paraId="04F3ECEA">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701" w:type="dxa"/>
            <w:vAlign w:val="center"/>
          </w:tcPr>
          <w:p w14:paraId="5F8ADEAB">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319" w:type="dxa"/>
            <w:vAlign w:val="center"/>
          </w:tcPr>
          <w:p w14:paraId="194408FE">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560" w:type="dxa"/>
            <w:vAlign w:val="center"/>
          </w:tcPr>
          <w:p w14:paraId="6CC1480F">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r>
      <w:tr w14:paraId="3EE54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14:paraId="01C8FBA8">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802" w:type="dxa"/>
            <w:vAlign w:val="center"/>
          </w:tcPr>
          <w:p w14:paraId="7D1C0714">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418" w:type="dxa"/>
            <w:vAlign w:val="center"/>
          </w:tcPr>
          <w:p w14:paraId="75E92CFC">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701" w:type="dxa"/>
            <w:vAlign w:val="center"/>
          </w:tcPr>
          <w:p w14:paraId="268B9718">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319" w:type="dxa"/>
            <w:vAlign w:val="center"/>
          </w:tcPr>
          <w:p w14:paraId="4E2B7938">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560" w:type="dxa"/>
            <w:vAlign w:val="center"/>
          </w:tcPr>
          <w:p w14:paraId="487A734E">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r>
      <w:tr w14:paraId="184AC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vAlign w:val="center"/>
          </w:tcPr>
          <w:p w14:paraId="186BD179">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vAlign w:val="center"/>
          </w:tcPr>
          <w:p w14:paraId="0C91FFFE">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560" w:type="dxa"/>
            <w:vAlign w:val="bottom"/>
          </w:tcPr>
          <w:p w14:paraId="1BC8E9AD">
            <w:pPr>
              <w:keepNext w:val="0"/>
              <w:keepLines w:val="0"/>
              <w:widowControl/>
              <w:suppressLineNumbers w:val="0"/>
              <w:adjustRightInd w:val="0"/>
              <w:snapToGrid w:val="0"/>
              <w:spacing w:before="0" w:beforeAutospacing="0" w:after="0" w:afterAutospacing="0" w:line="360" w:lineRule="auto"/>
              <w:ind w:left="0" w:right="0"/>
              <w:jc w:val="center"/>
              <w:textAlignment w:val="bottom"/>
              <w:rPr>
                <w:rFonts w:hint="eastAsia" w:ascii="宋体" w:hAnsi="宋体" w:eastAsia="宋体" w:cs="宋体"/>
                <w:color w:val="auto"/>
                <w:sz w:val="24"/>
                <w:szCs w:val="24"/>
                <w:highlight w:val="none"/>
              </w:rPr>
            </w:pPr>
          </w:p>
        </w:tc>
      </w:tr>
      <w:tr w14:paraId="2C861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vAlign w:val="center"/>
          </w:tcPr>
          <w:p w14:paraId="411542A8">
            <w:pPr>
              <w:keepNext w:val="0"/>
              <w:keepLines w:val="0"/>
              <w:widowControl/>
              <w:suppressLineNumbers w:val="0"/>
              <w:adjustRightInd w:val="0"/>
              <w:snapToGrid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合同总价： 元整</w:t>
            </w:r>
          </w:p>
        </w:tc>
      </w:tr>
      <w:tr w14:paraId="5BD5C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360" w:type="dxa"/>
            <w:gridSpan w:val="6"/>
            <w:vAlign w:val="center"/>
          </w:tcPr>
          <w:p w14:paraId="4203CFD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备注：</w:t>
            </w:r>
          </w:p>
          <w:p w14:paraId="5BDAADB9">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单价为综合单价，为经最终验收合格并交付使用所有可能发生的费用，包括设备费、运送至买方指定地点的运输费（含二次配送费用、仓储操作费）、装卸费、保险费、采购保管、安装调试、产品检验检测、税收以及售后服务等一切费用。上表数量为暂定数量，买方可根据实际需求情况对各规格型号的产品数量进行调整，买方将按实际最终验收合格的数量和综合单价进行结算。</w:t>
            </w:r>
          </w:p>
          <w:p w14:paraId="7775D732">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2、买方有权向</w:t>
            </w:r>
            <w:r>
              <w:rPr>
                <w:rFonts w:hint="eastAsia" w:ascii="宋体" w:hAnsi="宋体" w:eastAsia="宋体" w:cs="宋体"/>
                <w:color w:val="auto"/>
                <w:kern w:val="0"/>
                <w:sz w:val="24"/>
                <w:szCs w:val="24"/>
                <w:highlight w:val="none"/>
                <w:u w:val="single"/>
              </w:rPr>
              <w:t>厦门市机关事业单位</w:t>
            </w:r>
            <w:r>
              <w:rPr>
                <w:rFonts w:hint="eastAsia" w:ascii="宋体" w:hAnsi="宋体" w:eastAsia="宋体" w:cs="宋体"/>
                <w:color w:val="auto"/>
                <w:kern w:val="0"/>
                <w:sz w:val="24"/>
                <w:szCs w:val="24"/>
                <w:highlight w:val="none"/>
              </w:rPr>
              <w:t>及</w:t>
            </w:r>
            <w:r>
              <w:rPr>
                <w:rFonts w:hint="eastAsia" w:ascii="宋体" w:hAnsi="宋体" w:eastAsia="宋体" w:cs="宋体"/>
                <w:color w:val="auto"/>
                <w:kern w:val="0"/>
                <w:sz w:val="24"/>
                <w:szCs w:val="24"/>
                <w:highlight w:val="none"/>
                <w:u w:val="single"/>
              </w:rPr>
              <w:t>福建省内其他终端用户</w:t>
            </w:r>
            <w:r>
              <w:rPr>
                <w:rFonts w:hint="eastAsia" w:ascii="宋体" w:hAnsi="宋体" w:eastAsia="宋体" w:cs="宋体"/>
                <w:color w:val="auto"/>
                <w:kern w:val="0"/>
                <w:sz w:val="24"/>
                <w:szCs w:val="24"/>
                <w:highlight w:val="none"/>
              </w:rPr>
              <w:t>（以上统称最终用户）进行供货，卖方须提供相应的安装及售后服务保障。</w:t>
            </w:r>
          </w:p>
          <w:p w14:paraId="55A32FCD">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3、具体技术参数详见附件1。卖方应免费向买方提供附件1内各型号备用机各</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台，备用机应与首批《定货单》确定的货物一同交付，卖方逾期交付备用机的，买方有权直接扣除卖方相应金额的履约保证金，针对合同标的物的各条款同样适用于备用机。保修期满后，备用机归买方所有。</w:t>
            </w:r>
          </w:p>
          <w:p w14:paraId="1919A280">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4、合同期内，每三个月，买方可根据市场行情变化，与卖方就产品单价进行重新谈判，价格不得高于本合同约定的单价。</w:t>
            </w:r>
          </w:p>
          <w:p w14:paraId="4DA11E3A">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sz w:val="24"/>
                <w:szCs w:val="24"/>
                <w:highlight w:val="none"/>
              </w:rPr>
              <w:t>合同期内，遇卖方下调合同相关型号货物价格，卖方应在2个工作日内将新的价格以书面形式告知买方，经买方确认后按最新价格进行供货并结算。一旦买方发现合同结算单价高于其它同类销售渠道或主流网站（京东、苏宁易购、国美、天猫）等的常规销售价格，买方有权要求卖方按照主流网站的最低价格再下浮</w:t>
            </w:r>
            <w:r>
              <w:rPr>
                <w:rFonts w:hint="eastAsia" w:ascii="宋体" w:hAnsi="宋体" w:eastAsia="宋体" w:cs="宋体"/>
                <w:color w:val="auto"/>
                <w:sz w:val="24"/>
                <w:szCs w:val="24"/>
                <w:highlight w:val="none"/>
                <w:u w:val="single"/>
              </w:rPr>
              <w:t>1.5%</w:t>
            </w:r>
            <w:r>
              <w:rPr>
                <w:rFonts w:hint="eastAsia" w:ascii="宋体" w:hAnsi="宋体" w:eastAsia="宋体" w:cs="宋体"/>
                <w:color w:val="auto"/>
                <w:sz w:val="24"/>
                <w:szCs w:val="24"/>
                <w:highlight w:val="none"/>
              </w:rPr>
              <w:t>作为合同货物的结算价格，如卖方拒绝调整或双方就价格调整无法协商一致的，卖方应按逾期天数，每日承担相当于4.1条约定的履约保证金总金额0.5%的违约金，同时买方有权终止本合同，不视为买方违约。</w:t>
            </w:r>
          </w:p>
          <w:p w14:paraId="000EC9C4">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、本合同有效期：</w:t>
            </w:r>
            <w:r>
              <w:rPr>
                <w:rFonts w:hint="eastAsia" w:ascii="宋体" w:hAnsi="宋体" w:eastAsia="宋体" w:cs="宋体"/>
                <w:color w:val="auto"/>
                <w:kern w:val="0"/>
                <w:sz w:val="24"/>
                <w:szCs w:val="24"/>
                <w:highlight w:val="none"/>
                <w:lang w:eastAsia="zh-CN"/>
              </w:rPr>
              <w:t>一</w:t>
            </w:r>
            <w:r>
              <w:rPr>
                <w:rFonts w:hint="eastAsia" w:ascii="宋体" w:hAnsi="宋体" w:eastAsia="宋体" w:cs="宋体"/>
                <w:color w:val="auto"/>
                <w:kern w:val="0"/>
                <w:sz w:val="24"/>
                <w:szCs w:val="24"/>
                <w:highlight w:val="none"/>
              </w:rPr>
              <w:t>年，自年月日至年月日。若合同到期之日下一期采购合同尚未生效，本合同自动顺延至下一期新的合同生效之日止。</w:t>
            </w:r>
          </w:p>
        </w:tc>
      </w:tr>
    </w:tbl>
    <w:p w14:paraId="308FECC9">
      <w:pPr>
        <w:numPr>
          <w:ilvl w:val="0"/>
          <w:numId w:val="0"/>
        </w:numPr>
        <w:adjustRightInd w:val="0"/>
        <w:snapToGrid w:val="0"/>
        <w:spacing w:line="360" w:lineRule="auto"/>
        <w:rPr>
          <w:rFonts w:hint="eastAsia" w:ascii="宋体" w:hAnsi="宋体" w:eastAsia="宋体"/>
          <w:b/>
          <w:color w:val="auto"/>
          <w:sz w:val="24"/>
          <w:szCs w:val="24"/>
          <w:highlight w:val="none"/>
        </w:rPr>
      </w:pPr>
      <w:r>
        <w:rPr>
          <w:rFonts w:hint="eastAsia" w:ascii="宋体" w:hAnsi="宋体" w:eastAsia="宋体" w:cs="宋体"/>
          <w:b/>
          <w:color w:val="auto"/>
          <w:sz w:val="24"/>
          <w:szCs w:val="24"/>
          <w:highlight w:val="none"/>
          <w:lang w:val="en-US"/>
        </w:rPr>
        <w:t> </w:t>
      </w:r>
      <w:r>
        <w:rPr>
          <w:rFonts w:hint="eastAsia" w:ascii="宋体" w:hAnsi="宋体" w:eastAsia="宋体" w:cs="宋体"/>
          <w:b/>
          <w:color w:val="auto"/>
          <w:sz w:val="24"/>
          <w:szCs w:val="24"/>
          <w:highlight w:val="none"/>
        </w:rPr>
        <w:fldChar w:fldCharType="end"/>
      </w:r>
      <w:bookmarkEnd w:id="5"/>
    </w:p>
    <w:p w14:paraId="7AC935C1">
      <w:pPr>
        <w:adjustRightInd w:val="0"/>
        <w:snapToGrid w:val="0"/>
        <w:spacing w:beforeLines="50"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2、交货方式</w:t>
      </w:r>
    </w:p>
    <w:p w14:paraId="1A70B8CA">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2.1卖方按买方要求分批次供货。卖方送货至买方指定地点。</w:t>
      </w:r>
    </w:p>
    <w:p w14:paraId="357BC18C">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2.1.1买方向卖方提交《定货单》的方式包括：合同书《定货单》形式、电子数据《定货单》形式等。以上所有《定货单》均适用于本合同。</w:t>
      </w:r>
    </w:p>
    <w:p w14:paraId="60EC6895">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2.1.2合同书《定货单》形式，指买方向卖方提交加盖买方有效印章的《定货单》。</w:t>
      </w:r>
    </w:p>
    <w:p w14:paraId="3ABC69CA">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2.1.3电子数据《定货单》形式：指买方通过指定的邮箱、微信等方式向卖方提交加盖买方有效印章的《定货单》扫描件。</w:t>
      </w:r>
      <w:sdt>
        <w:sdtPr>
          <w:rPr>
            <w:rFonts w:ascii="宋体" w:hAnsi="宋体" w:eastAsia="宋体" w:cstheme="minorBidi"/>
            <w:color w:val="auto"/>
            <w:kern w:val="2"/>
            <w:sz w:val="24"/>
            <w:szCs w:val="24"/>
            <w:highlight w:val="none"/>
            <w:lang w:val="en-US" w:eastAsia="zh-CN" w:bidi="ar-SA"/>
          </w:rPr>
          <w:id w:val="147473091"/>
          <w:placeholder>
            <w:docPart w:val="{fcc56ac8-e954-4acd-8edf-5c753224c35c}"/>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cstheme="minorBidi"/>
              <w:color w:val="auto"/>
              <w:kern w:val="2"/>
              <w:sz w:val="24"/>
              <w:szCs w:val="24"/>
              <w:highlight w:val="none"/>
              <w:lang w:eastAsia="zh-CN" w:bidi="ar-SA"/>
            </w:rPr>
            <w:t xml:space="preserve"> </w:t>
          </w:r>
        </w:sdtContent>
      </w:sdt>
    </w:p>
    <w:p w14:paraId="3A67DC23">
      <w:pPr>
        <w:adjustRightInd w:val="0"/>
        <w:snapToGrid w:val="0"/>
        <w:spacing w:line="360" w:lineRule="auto"/>
        <w:ind w:firstLine="480" w:firstLineChars="200"/>
        <w:rPr>
          <w:rFonts w:hint="default" w:ascii="宋体" w:hAnsi="宋体" w:eastAsia="宋体"/>
          <w:color w:val="auto"/>
          <w:sz w:val="24"/>
          <w:szCs w:val="24"/>
          <w:highlight w:val="none"/>
          <w:lang w:val="en-US"/>
        </w:rPr>
      </w:pPr>
      <w:r>
        <w:rPr>
          <w:rFonts w:ascii="宋体" w:hAnsi="宋体" w:eastAsia="宋体"/>
          <w:color w:val="auto"/>
          <w:sz w:val="24"/>
          <w:szCs w:val="24"/>
          <w:highlight w:val="none"/>
        </w:rPr>
        <w:fldChar w:fldCharType="begin">
          <w:ffData>
            <w:name w:val="Text2"/>
            <w:enabled/>
            <w:calcOnExit w:val="0"/>
            <w:textInput/>
          </w:ffData>
        </w:fldChar>
      </w:r>
      <w:bookmarkStart w:id="6" w:name="Text2"/>
      <w:r>
        <w:rPr>
          <w:rFonts w:ascii="宋体" w:hAnsi="宋体" w:eastAsia="宋体"/>
          <w:color w:val="auto"/>
          <w:sz w:val="24"/>
          <w:szCs w:val="24"/>
          <w:highlight w:val="none"/>
        </w:rPr>
        <w:instrText xml:space="preserve">FORMTEXT</w:instrText>
      </w:r>
      <w:r>
        <w:rPr>
          <w:rFonts w:ascii="宋体" w:hAnsi="宋体" w:eastAsia="宋体"/>
          <w:color w:val="auto"/>
          <w:sz w:val="24"/>
          <w:szCs w:val="24"/>
          <w:highlight w:val="none"/>
        </w:rPr>
        <w:fldChar w:fldCharType="separate"/>
      </w:r>
      <w:r>
        <w:rPr>
          <w:rFonts w:hint="default" w:ascii="宋体" w:hAnsi="宋体" w:eastAsia="宋体"/>
          <w:color w:val="auto"/>
          <w:sz w:val="24"/>
          <w:szCs w:val="24"/>
          <w:highlight w:val="none"/>
          <w:lang w:val="en-US"/>
        </w:rPr>
        <w:t> </w:t>
      </w:r>
    </w:p>
    <w:tbl>
      <w:tblPr>
        <w:tblStyle w:val="12"/>
        <w:tblW w:w="8344" w:type="dxa"/>
        <w:tblInd w:w="299" w:type="dxa"/>
        <w:tblLayout w:type="autofit"/>
        <w:tblCellMar>
          <w:top w:w="0" w:type="dxa"/>
          <w:left w:w="0" w:type="dxa"/>
          <w:bottom w:w="0" w:type="dxa"/>
          <w:right w:w="0" w:type="dxa"/>
        </w:tblCellMar>
      </w:tblPr>
      <w:tblGrid>
        <w:gridCol w:w="2782"/>
        <w:gridCol w:w="3012"/>
        <w:gridCol w:w="2550"/>
      </w:tblGrid>
      <w:tr w14:paraId="67D093B1">
        <w:tblPrEx>
          <w:tblCellMar>
            <w:top w:w="0" w:type="dxa"/>
            <w:left w:w="0" w:type="dxa"/>
            <w:bottom w:w="0" w:type="dxa"/>
            <w:right w:w="0" w:type="dxa"/>
          </w:tblCellMar>
        </w:tblPrEx>
        <w:trPr>
          <w:trHeight w:val="325" w:hRule="atLeast"/>
        </w:trPr>
        <w:tc>
          <w:tcPr>
            <w:tcW w:w="2782"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tcPr>
          <w:p w14:paraId="4DDFE1E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类型</w:t>
            </w:r>
          </w:p>
        </w:tc>
        <w:tc>
          <w:tcPr>
            <w:tcW w:w="3012" w:type="dxa"/>
            <w:tcBorders>
              <w:top w:val="single" w:color="auto" w:sz="8" w:space="0"/>
              <w:left w:val="nil"/>
              <w:bottom w:val="single" w:color="auto" w:sz="8" w:space="0"/>
              <w:right w:val="single" w:color="auto" w:sz="8" w:space="0"/>
            </w:tcBorders>
            <w:tcMar>
              <w:top w:w="15" w:type="dxa"/>
              <w:left w:w="15" w:type="dxa"/>
              <w:bottom w:w="0" w:type="dxa"/>
              <w:right w:w="15" w:type="dxa"/>
            </w:tcMar>
          </w:tcPr>
          <w:p w14:paraId="37C687A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卖方</w:t>
            </w:r>
          </w:p>
        </w:tc>
        <w:tc>
          <w:tcPr>
            <w:tcW w:w="2550" w:type="dxa"/>
            <w:tcBorders>
              <w:top w:val="single" w:color="auto" w:sz="8" w:space="0"/>
              <w:left w:val="nil"/>
              <w:bottom w:val="single" w:color="auto" w:sz="8" w:space="0"/>
              <w:right w:val="single" w:color="auto" w:sz="8" w:space="0"/>
            </w:tcBorders>
            <w:tcMar>
              <w:top w:w="15" w:type="dxa"/>
              <w:left w:w="15" w:type="dxa"/>
              <w:bottom w:w="0" w:type="dxa"/>
              <w:right w:w="15" w:type="dxa"/>
            </w:tcMar>
          </w:tcPr>
          <w:p w14:paraId="6FCEC48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买方</w:t>
            </w:r>
          </w:p>
        </w:tc>
      </w:tr>
      <w:tr w14:paraId="1CAB28C0">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6DB24603">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联系人</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1EFA8487">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vAlign w:val="center"/>
          </w:tcPr>
          <w:p w14:paraId="4A71223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0E026965">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5FE54BD0">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电话（同微信）</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6EF64BD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tcPr>
          <w:p w14:paraId="4AFD373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362E7599">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4560A465">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座机</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692EC15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tcPr>
          <w:p w14:paraId="5858D845">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71A32F44">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62A2DD5F">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联系邮箱</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12208F5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vAlign w:val="center"/>
          </w:tcPr>
          <w:p w14:paraId="3241DDC9">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r>
      <w:tr w14:paraId="66AEC97D">
        <w:tblPrEx>
          <w:tblCellMar>
            <w:top w:w="0" w:type="dxa"/>
            <w:left w:w="0" w:type="dxa"/>
            <w:bottom w:w="0" w:type="dxa"/>
            <w:right w:w="0" w:type="dxa"/>
          </w:tblCellMar>
        </w:tblPrEx>
        <w:trPr>
          <w:trHeight w:val="813" w:hRule="atLeast"/>
        </w:trPr>
        <w:tc>
          <w:tcPr>
            <w:tcW w:w="8344" w:type="dxa"/>
            <w:gridSpan w:val="3"/>
            <w:tcBorders>
              <w:top w:val="nil"/>
              <w:left w:val="single" w:color="auto" w:sz="8" w:space="0"/>
              <w:bottom w:val="single" w:color="auto" w:sz="8" w:space="0"/>
              <w:right w:val="single" w:color="auto" w:sz="8" w:space="0"/>
            </w:tcBorders>
            <w:tcMar>
              <w:top w:w="15" w:type="dxa"/>
              <w:left w:w="15" w:type="dxa"/>
              <w:bottom w:w="0" w:type="dxa"/>
              <w:right w:w="15" w:type="dxa"/>
            </w:tcMar>
          </w:tcPr>
          <w:p w14:paraId="14C686C7">
            <w:pPr>
              <w:keepNext w:val="0"/>
              <w:keepLines w:val="0"/>
              <w:widowControl/>
              <w:suppressLineNumbers w:val="0"/>
              <w:adjustRightInd w:val="0"/>
              <w:snapToGrid w:val="0"/>
              <w:spacing w:before="0" w:beforeAutospacing="0" w:after="0" w:afterAutospacing="0" w:line="360" w:lineRule="auto"/>
              <w:ind w:left="0" w:right="0"/>
              <w:jc w:val="left"/>
              <w:rPr>
                <w:rFonts w:hint="default" w:ascii="宋体" w:hAnsi="宋体" w:eastAsia="宋体" w:cs="宋体"/>
                <w:color w:val="auto"/>
                <w:sz w:val="24"/>
                <w:highlight w:val="none"/>
              </w:rPr>
            </w:pPr>
            <w:r>
              <w:rPr>
                <w:rFonts w:hint="eastAsia" w:ascii="宋体" w:hAnsi="宋体" w:eastAsia="宋体" w:cs="宋体"/>
                <w:color w:val="auto"/>
                <w:kern w:val="0"/>
                <w:sz w:val="24"/>
                <w:highlight w:val="none"/>
              </w:rPr>
              <w:t>备注：上述信息发生变更，应提前3个工作日通知对方，否则由此产生的责任、损失由违约方承担。</w:t>
            </w:r>
          </w:p>
        </w:tc>
      </w:tr>
    </w:tbl>
    <w:p w14:paraId="78E044B6">
      <w:pPr>
        <w:adjustRightInd w:val="0"/>
        <w:snapToGrid w:val="0"/>
        <w:spacing w:line="360" w:lineRule="auto"/>
        <w:ind w:firstLine="480" w:firstLineChars="200"/>
        <w:rPr>
          <w:rFonts w:ascii="宋体" w:hAnsi="宋体" w:eastAsia="宋体"/>
          <w:color w:val="auto"/>
          <w:sz w:val="24"/>
          <w:szCs w:val="24"/>
          <w:highlight w:val="none"/>
        </w:rPr>
      </w:pPr>
      <w:r>
        <w:rPr>
          <w:rFonts w:hint="default" w:ascii="宋体" w:hAnsi="宋体" w:eastAsia="宋体"/>
          <w:color w:val="auto"/>
          <w:sz w:val="24"/>
          <w:szCs w:val="24"/>
          <w:highlight w:val="none"/>
          <w:lang w:val="en-US"/>
        </w:rPr>
        <w:t> </w:t>
      </w:r>
      <w:r>
        <w:rPr>
          <w:rFonts w:ascii="宋体" w:hAnsi="宋体" w:eastAsia="宋体"/>
          <w:color w:val="auto"/>
          <w:sz w:val="24"/>
          <w:szCs w:val="24"/>
          <w:highlight w:val="none"/>
        </w:rPr>
        <w:fldChar w:fldCharType="end"/>
      </w:r>
      <w:bookmarkEnd w:id="6"/>
      <w:sdt>
        <w:sdtPr>
          <w:rPr>
            <w:rFonts w:ascii="宋体" w:hAnsi="宋体" w:eastAsia="宋体" w:cstheme="minorBidi"/>
            <w:color w:val="auto"/>
            <w:kern w:val="2"/>
            <w:sz w:val="24"/>
            <w:szCs w:val="24"/>
            <w:highlight w:val="none"/>
            <w:lang w:val="en-US" w:eastAsia="zh-CN" w:bidi="ar-SA"/>
          </w:rPr>
          <w:id w:val="147464593"/>
          <w:placeholder>
            <w:docPart w:val="{8e45af4d-8c2b-451d-aac7-52cc5fc07001}"/>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cstheme="minorBidi"/>
              <w:color w:val="auto"/>
              <w:kern w:val="2"/>
              <w:sz w:val="24"/>
              <w:szCs w:val="24"/>
              <w:highlight w:val="none"/>
              <w:lang w:eastAsia="zh-CN" w:bidi="ar-SA"/>
            </w:rPr>
            <w:t xml:space="preserve"> </w:t>
          </w:r>
        </w:sdtContent>
      </w:sdt>
    </w:p>
    <w:p w14:paraId="026A59DC">
      <w:pPr>
        <w:adjustRightInd w:val="0"/>
        <w:snapToGrid w:val="0"/>
        <w:spacing w:line="360" w:lineRule="auto"/>
        <w:ind w:firstLine="0" w:firstLineChars="0"/>
        <w:rPr>
          <w:rFonts w:ascii="宋体" w:hAnsi="宋体" w:eastAsia="宋体"/>
          <w:color w:val="auto"/>
          <w:sz w:val="24"/>
          <w:szCs w:val="24"/>
          <w:highlight w:val="none"/>
        </w:rPr>
      </w:pPr>
      <w:r>
        <w:rPr>
          <w:rFonts w:ascii="宋体" w:hAnsi="宋体"/>
          <w:color w:val="auto"/>
          <w:sz w:val="24"/>
          <w:szCs w:val="24"/>
          <w:highlight w:val="none"/>
        </w:rPr>
        <w:t xml:space="preserve">    </w:t>
      </w:r>
      <w:r>
        <w:rPr>
          <w:rFonts w:ascii="宋体" w:hAnsi="宋体" w:eastAsia="宋体"/>
          <w:color w:val="auto"/>
          <w:sz w:val="24"/>
          <w:szCs w:val="24"/>
          <w:highlight w:val="none"/>
        </w:rPr>
        <w:t>2.2交货地点</w:t>
      </w:r>
      <w:r>
        <w:rPr>
          <w:rFonts w:hint="eastAsia" w:ascii="宋体" w:hAnsi="宋体" w:eastAsia="宋体"/>
          <w:color w:val="auto"/>
          <w:sz w:val="24"/>
          <w:szCs w:val="24"/>
          <w:highlight w:val="none"/>
        </w:rPr>
        <w:t>、期限和二次配送</w:t>
      </w:r>
      <w:r>
        <w:rPr>
          <w:rFonts w:ascii="宋体" w:hAnsi="宋体" w:eastAsia="宋体"/>
          <w:color w:val="auto"/>
          <w:sz w:val="24"/>
          <w:szCs w:val="24"/>
          <w:highlight w:val="none"/>
        </w:rPr>
        <w:t>：</w:t>
      </w:r>
      <w:r>
        <w:rPr>
          <w:rFonts w:hint="eastAsia" w:ascii="宋体" w:hAnsi="宋体" w:eastAsia="宋体"/>
          <w:color w:val="auto"/>
          <w:sz w:val="24"/>
          <w:szCs w:val="24"/>
          <w:highlight w:val="none"/>
        </w:rPr>
        <w:t>货交</w:t>
      </w:r>
      <w:r>
        <w:rPr>
          <w:rFonts w:ascii="宋体" w:hAnsi="宋体" w:eastAsia="宋体"/>
          <w:color w:val="auto"/>
          <w:sz w:val="24"/>
          <w:szCs w:val="24"/>
          <w:highlight w:val="none"/>
        </w:rPr>
        <w:t>买方指定地点。</w:t>
      </w:r>
      <w:sdt>
        <w:sdtPr>
          <w:rPr>
            <w:rFonts w:ascii="宋体" w:hAnsi="宋体" w:eastAsia="宋体" w:cstheme="minorBidi"/>
            <w:color w:val="auto"/>
            <w:kern w:val="2"/>
            <w:sz w:val="24"/>
            <w:szCs w:val="24"/>
            <w:highlight w:val="none"/>
            <w:lang w:val="en-US" w:eastAsia="zh-CN" w:bidi="ar-SA"/>
          </w:rPr>
          <w:id w:val="147468493"/>
          <w:placeholder>
            <w:docPart w:val="{431d260d-72be-4192-9a56-c3bf7b6d7f82}"/>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一般情况下，卖方应将货物送至买方仓库（福建省内指定地点）集中仓储，再根据买方指令从仓库提货后进行二次配送至最终用户。特殊情况下，卖方应将货物直接送至最终用户。具体按照《定货单》要求执行。</w:t>
          </w:r>
        </w:sdtContent>
      </w:sdt>
    </w:p>
    <w:sdt>
      <w:sdtPr>
        <w:rPr>
          <w:rFonts w:ascii="宋体" w:hAnsi="宋体" w:eastAsia="宋体" w:cstheme="minorBidi"/>
          <w:color w:val="auto"/>
          <w:kern w:val="2"/>
          <w:sz w:val="24"/>
          <w:szCs w:val="24"/>
          <w:highlight w:val="none"/>
          <w:lang w:val="en-US" w:eastAsia="zh-CN" w:bidi="ar-SA"/>
        </w:rPr>
        <w:id w:val="147463688"/>
        <w:placeholder>
          <w:docPart w:val="{8f4e0299-3078-4397-8bd5-7b2bbaa8ac4d}"/>
        </w:placeholder>
      </w:sdtPr>
      <w:sdtEndPr>
        <w:rPr>
          <w:rFonts w:hint="eastAsia" w:ascii="宋体" w:hAnsi="宋体" w:eastAsia="宋体" w:cstheme="minorBidi"/>
          <w:color w:val="auto"/>
          <w:kern w:val="2"/>
          <w:sz w:val="24"/>
          <w:szCs w:val="24"/>
          <w:highlight w:val="none"/>
          <w:lang w:val="en-US" w:eastAsia="zh-CN" w:bidi="ar-SA"/>
        </w:rPr>
      </w:sdtEndPr>
      <w:sdtContent>
        <w:p w14:paraId="4946B62F">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2.2.</w:t>
          </w:r>
          <w:r>
            <w:rPr>
              <w:rFonts w:hint="eastAsia" w:ascii="宋体" w:hAnsi="宋体" w:eastAsia="宋体"/>
              <w:color w:val="auto"/>
              <w:sz w:val="24"/>
              <w:szCs w:val="24"/>
              <w:highlight w:val="none"/>
            </w:rPr>
            <w:t>1货物</w:t>
          </w:r>
          <w:r>
            <w:rPr>
              <w:rFonts w:ascii="宋体" w:hAnsi="宋体" w:eastAsia="宋体"/>
              <w:color w:val="auto"/>
              <w:sz w:val="24"/>
              <w:szCs w:val="24"/>
              <w:highlight w:val="none"/>
            </w:rPr>
            <w:t>送</w:t>
          </w:r>
          <w:r>
            <w:rPr>
              <w:rFonts w:hint="eastAsia" w:ascii="宋体" w:hAnsi="宋体" w:eastAsia="宋体"/>
              <w:color w:val="auto"/>
              <w:sz w:val="24"/>
              <w:szCs w:val="24"/>
              <w:highlight w:val="none"/>
            </w:rPr>
            <w:t>买方</w:t>
          </w:r>
          <w:r>
            <w:rPr>
              <w:rFonts w:ascii="宋体" w:hAnsi="宋体" w:eastAsia="宋体"/>
              <w:color w:val="auto"/>
              <w:sz w:val="24"/>
              <w:szCs w:val="24"/>
              <w:highlight w:val="none"/>
            </w:rPr>
            <w:t>仓库后再</w:t>
          </w:r>
          <w:r>
            <w:rPr>
              <w:rFonts w:hint="eastAsia" w:ascii="宋体" w:hAnsi="宋体" w:eastAsia="宋体"/>
              <w:color w:val="auto"/>
              <w:sz w:val="24"/>
              <w:szCs w:val="24"/>
              <w:highlight w:val="none"/>
            </w:rPr>
            <w:t>配</w:t>
          </w:r>
          <w:r>
            <w:rPr>
              <w:rFonts w:ascii="宋体" w:hAnsi="宋体" w:eastAsia="宋体"/>
              <w:color w:val="auto"/>
              <w:sz w:val="24"/>
              <w:szCs w:val="24"/>
              <w:highlight w:val="none"/>
            </w:rPr>
            <w:t>送至最终用户的，</w:t>
          </w:r>
          <w:r>
            <w:rPr>
              <w:rFonts w:hint="eastAsia" w:ascii="宋体" w:hAnsi="宋体" w:eastAsia="宋体"/>
              <w:color w:val="auto"/>
              <w:sz w:val="24"/>
              <w:szCs w:val="24"/>
              <w:highlight w:val="none"/>
            </w:rPr>
            <w:t>卖方应在买方发出《定货单》之日起</w:t>
          </w:r>
          <w:r>
            <w:rPr>
              <w:rFonts w:hint="eastAsia" w:ascii="宋体" w:hAnsi="宋体" w:eastAsia="宋体"/>
              <w:color w:val="auto"/>
              <w:sz w:val="24"/>
              <w:szCs w:val="24"/>
              <w:highlight w:val="none"/>
              <w:u w:val="single"/>
              <w:lang w:val="en-US" w:eastAsia="zh-CN"/>
            </w:rPr>
            <w:t>20</w:t>
          </w:r>
          <w:r>
            <w:rPr>
              <w:rFonts w:ascii="宋体" w:hAnsi="宋体" w:eastAsia="宋体"/>
              <w:color w:val="auto"/>
              <w:sz w:val="24"/>
              <w:szCs w:val="24"/>
              <w:highlight w:val="none"/>
              <w:u w:val="single"/>
            </w:rPr>
            <w:t xml:space="preserve"> </w:t>
          </w:r>
          <w:r>
            <w:rPr>
              <w:rFonts w:ascii="宋体" w:hAnsi="宋体" w:eastAsia="宋体"/>
              <w:color w:val="auto"/>
              <w:sz w:val="24"/>
              <w:szCs w:val="24"/>
              <w:highlight w:val="none"/>
            </w:rPr>
            <w:t>个日历日之内</w:t>
          </w:r>
          <w:r>
            <w:rPr>
              <w:rFonts w:hint="eastAsia" w:ascii="宋体" w:hAnsi="宋体" w:eastAsia="宋体"/>
              <w:color w:val="auto"/>
              <w:sz w:val="24"/>
              <w:szCs w:val="24"/>
              <w:highlight w:val="none"/>
            </w:rPr>
            <w:t>（《定货单》的交货期与本条约定不一致的，以《定货单》为准）将</w:t>
          </w:r>
          <w:r>
            <w:rPr>
              <w:rFonts w:ascii="宋体" w:hAnsi="宋体" w:eastAsia="宋体"/>
              <w:color w:val="auto"/>
              <w:sz w:val="24"/>
              <w:szCs w:val="24"/>
              <w:highlight w:val="none"/>
            </w:rPr>
            <w:t>货交</w:t>
          </w:r>
          <w:r>
            <w:rPr>
              <w:rFonts w:hint="eastAsia" w:ascii="宋体" w:hAnsi="宋体" w:eastAsia="宋体"/>
              <w:color w:val="auto"/>
              <w:sz w:val="24"/>
              <w:szCs w:val="24"/>
              <w:highlight w:val="none"/>
            </w:rPr>
            <w:t>买方仓库，</w:t>
          </w:r>
          <w:r>
            <w:rPr>
              <w:rFonts w:hint="eastAsia" w:ascii="宋体" w:hAnsi="宋体" w:eastAsia="宋体" w:cstheme="minorBidi"/>
              <w:color w:val="auto"/>
              <w:kern w:val="2"/>
              <w:sz w:val="24"/>
              <w:szCs w:val="24"/>
              <w:highlight w:val="none"/>
              <w:lang w:val="en-US" w:eastAsia="zh-CN" w:bidi="ar-SA"/>
            </w:rPr>
            <w:t xml:space="preserve"> </w:t>
          </w:r>
          <w:r>
            <w:rPr>
              <w:rFonts w:hint="eastAsia" w:ascii="宋体" w:hAnsi="宋体" w:eastAsia="宋体"/>
              <w:color w:val="auto"/>
              <w:sz w:val="24"/>
              <w:szCs w:val="24"/>
              <w:highlight w:val="none"/>
            </w:rPr>
            <w:t>货物到达买方仓库后，卖方应在接到买方通知后24小时内（仅指货物配送时限要求，安装调试至通过验收的时限以6</w:t>
          </w:r>
          <w:r>
            <w:rPr>
              <w:rFonts w:ascii="宋体" w:hAnsi="宋体" w:eastAsia="宋体"/>
              <w:color w:val="auto"/>
              <w:sz w:val="24"/>
              <w:szCs w:val="24"/>
              <w:highlight w:val="none"/>
            </w:rPr>
            <w:t>.1</w:t>
          </w:r>
          <w:r>
            <w:rPr>
              <w:rFonts w:hint="eastAsia" w:ascii="宋体" w:hAnsi="宋体" w:eastAsia="宋体"/>
              <w:color w:val="auto"/>
              <w:sz w:val="24"/>
              <w:szCs w:val="24"/>
              <w:highlight w:val="none"/>
            </w:rPr>
            <w:t>为准）将货物从买方仓库二次配送至最终用户（地址为厦门市岛内行政区域），并按第6条的约定完成安装调试后提请验收交付。</w:t>
          </w:r>
          <w:r>
            <w:rPr>
              <w:rFonts w:ascii="宋体" w:hAnsi="宋体" w:eastAsia="宋体"/>
              <w:color w:val="auto"/>
              <w:sz w:val="24"/>
              <w:szCs w:val="24"/>
              <w:highlight w:val="none"/>
            </w:rPr>
            <w:t>卖方除承担运送至买方仓库的费用</w:t>
          </w:r>
          <w:r>
            <w:rPr>
              <w:rFonts w:hint="eastAsia" w:ascii="宋体" w:hAnsi="宋体" w:eastAsia="宋体"/>
              <w:color w:val="auto"/>
              <w:sz w:val="24"/>
              <w:szCs w:val="24"/>
              <w:highlight w:val="none"/>
            </w:rPr>
            <w:t>、货物存至买方仓库的仓储操作费</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A4幅面激光打印机仓储操作费10元/台，A3幅面激光打印机仓储操作费15元/台</w:t>
          </w:r>
          <w:r>
            <w:rPr>
              <w:rFonts w:hint="eastAsia" w:ascii="宋体" w:hAnsi="宋体" w:eastAsia="宋体"/>
              <w:color w:val="auto"/>
              <w:sz w:val="24"/>
              <w:szCs w:val="24"/>
              <w:highlight w:val="none"/>
              <w:lang w:eastAsia="zh-CN"/>
            </w:rPr>
            <w:t>）</w:t>
          </w:r>
          <w:r>
            <w:rPr>
              <w:rFonts w:ascii="宋体" w:hAnsi="宋体" w:eastAsia="宋体"/>
              <w:color w:val="auto"/>
              <w:sz w:val="24"/>
              <w:szCs w:val="24"/>
              <w:highlight w:val="none"/>
            </w:rPr>
            <w:t>，还应同时承担从买方仓库运送至最终用户的二次配送费用</w:t>
          </w:r>
          <w:r>
            <w:rPr>
              <w:rFonts w:hint="eastAsia" w:ascii="宋体" w:hAnsi="宋体" w:eastAsia="宋体"/>
              <w:color w:val="auto"/>
              <w:sz w:val="24"/>
              <w:szCs w:val="24"/>
              <w:highlight w:val="none"/>
            </w:rPr>
            <w:t>。卖方从买方仓库中提货之时起至货物经最终用户签收之时止，货物毁损、灭失的风险由卖方承担。</w:t>
          </w:r>
        </w:p>
      </w:sdtContent>
    </w:sdt>
    <w:sdt>
      <w:sdtPr>
        <w:rPr>
          <w:rFonts w:hint="eastAsia" w:ascii="宋体" w:hAnsi="宋体" w:eastAsia="宋体" w:cstheme="minorBidi"/>
          <w:color w:val="auto"/>
          <w:kern w:val="2"/>
          <w:sz w:val="24"/>
          <w:szCs w:val="24"/>
          <w:highlight w:val="none"/>
          <w:lang w:val="en-US" w:eastAsia="zh-CN" w:bidi="ar-SA"/>
        </w:rPr>
        <w:id w:val="147463825"/>
        <w:placeholder>
          <w:docPart w:val="{fa4aa358-0f6c-4d48-8dbe-9ba2cea286c7}"/>
        </w:placeholder>
      </w:sdtPr>
      <w:sdtEndPr>
        <w:rPr>
          <w:rFonts w:hint="eastAsia" w:ascii="宋体" w:hAnsi="宋体" w:eastAsia="宋体" w:cstheme="minorBidi"/>
          <w:color w:val="auto"/>
          <w:kern w:val="2"/>
          <w:sz w:val="24"/>
          <w:szCs w:val="24"/>
          <w:highlight w:val="none"/>
          <w:lang w:val="en-US" w:eastAsia="zh-CN" w:bidi="ar-SA"/>
        </w:rPr>
      </w:sdtEndPr>
      <w:sdtContent>
        <w:p w14:paraId="055F9DB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2.2.2货物直送最终用户的，卖方应在买方发出《定货单》之日起24小时之内（《定货单》的交货期与本条约定不一致的，以《定货单》为准）将货交最终用户，并按第6条的约定完成安装调试后提请验收交付。</w:t>
          </w:r>
        </w:p>
      </w:sdtContent>
    </w:sdt>
    <w:p w14:paraId="3ACD5167">
      <w:pPr>
        <w:adjustRightInd w:val="0"/>
        <w:snapToGrid w:val="0"/>
        <w:spacing w:line="360" w:lineRule="auto"/>
        <w:ind w:firstLine="480" w:firstLineChars="200"/>
        <w:rPr>
          <w:color w:val="auto"/>
          <w:highlight w:val="none"/>
        </w:rPr>
      </w:pPr>
      <w:r>
        <w:rPr>
          <w:rFonts w:hint="eastAsia" w:ascii="宋体" w:hAnsi="宋体" w:eastAsia="宋体"/>
          <w:color w:val="auto"/>
          <w:sz w:val="24"/>
          <w:szCs w:val="24"/>
          <w:highlight w:val="none"/>
        </w:rPr>
        <w:t>2.2.3若卖方未按</w:t>
      </w:r>
      <w:r>
        <w:rPr>
          <w:rFonts w:ascii="宋体" w:hAnsi="宋体" w:eastAsia="宋体"/>
          <w:color w:val="auto"/>
          <w:sz w:val="24"/>
          <w:szCs w:val="24"/>
          <w:highlight w:val="none"/>
        </w:rPr>
        <w:t>2.2.1</w:t>
      </w:r>
      <w:r>
        <w:rPr>
          <w:rFonts w:hint="eastAsia" w:ascii="宋体" w:hAnsi="宋体" w:eastAsia="宋体"/>
          <w:color w:val="auto"/>
          <w:sz w:val="24"/>
          <w:szCs w:val="24"/>
          <w:highlight w:val="none"/>
        </w:rPr>
        <w:t>约定的时间完成二次配送的，买方将代为进行二次配送，卖方应按如下费用标准最迟在买方发出《定货单》之日起</w:t>
      </w:r>
      <w:sdt>
        <w:sdtPr>
          <w:rPr>
            <w:rFonts w:hint="eastAsia" w:ascii="宋体" w:hAnsi="宋体" w:eastAsia="宋体" w:cstheme="minorBidi"/>
            <w:color w:val="auto"/>
            <w:kern w:val="2"/>
            <w:sz w:val="24"/>
            <w:szCs w:val="24"/>
            <w:highlight w:val="none"/>
            <w:lang w:val="en-US" w:eastAsia="zh-CN" w:bidi="ar-SA"/>
          </w:rPr>
          <w:id w:val="777689632"/>
          <w:placeholder>
            <w:docPart w:val="{9498be8b-c12c-4e11-b87e-17c97895b92e}"/>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lang w:val="en-US" w:eastAsia="zh-CN"/>
            </w:rPr>
            <w:t>10</w:t>
          </w:r>
        </w:sdtContent>
      </w:sdt>
      <w:r>
        <w:rPr>
          <w:rFonts w:hint="eastAsia" w:ascii="宋体" w:hAnsi="宋体" w:eastAsia="宋体"/>
          <w:color w:val="auto"/>
          <w:sz w:val="24"/>
          <w:szCs w:val="24"/>
          <w:highlight w:val="none"/>
        </w:rPr>
        <w:t>个</w:t>
      </w:r>
      <w:r>
        <w:rPr>
          <w:rFonts w:hint="eastAsia" w:ascii="宋体" w:hAnsi="宋体" w:eastAsia="宋体"/>
          <w:color w:val="auto"/>
          <w:sz w:val="24"/>
          <w:szCs w:val="24"/>
          <w:highlight w:val="none"/>
          <w:lang w:eastAsia="zh-CN"/>
        </w:rPr>
        <w:t>工作</w:t>
      </w:r>
      <w:r>
        <w:rPr>
          <w:rFonts w:hint="eastAsia" w:ascii="宋体" w:hAnsi="宋体" w:eastAsia="宋体"/>
          <w:color w:val="auto"/>
          <w:sz w:val="24"/>
          <w:szCs w:val="24"/>
          <w:highlight w:val="none"/>
        </w:rPr>
        <w:t>日内向买方或买方指定的第三方物流商支付相应</w:t>
      </w:r>
      <w:sdt>
        <w:sdtPr>
          <w:rPr>
            <w:rFonts w:hint="eastAsia" w:ascii="宋体" w:hAnsi="宋体" w:eastAsia="宋体" w:cstheme="minorBidi"/>
            <w:color w:val="auto"/>
            <w:kern w:val="2"/>
            <w:sz w:val="24"/>
            <w:szCs w:val="24"/>
            <w:highlight w:val="none"/>
            <w:lang w:val="en-US" w:eastAsia="zh-CN" w:bidi="ar-SA"/>
          </w:rPr>
          <w:id w:val="826950664"/>
          <w:placeholder>
            <w:docPart w:val="{e73b8b87-6dbe-4a81-acec-182627e9457f}"/>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仓储操作费及二次配送费用：</w:t>
          </w:r>
          <w:r>
            <w:rPr>
              <w:rFonts w:hint="eastAsia" w:ascii="宋体" w:hAnsi="宋体"/>
              <w:color w:val="auto"/>
              <w:sz w:val="24"/>
              <w:szCs w:val="24"/>
              <w:highlight w:val="none"/>
            </w:rPr>
            <w:t>A4幅面激光打印机仓储操作费10元/台，二次配送费15元/台；A3幅面激光打印机仓储操作费15元/台，二次配送费45元/台。</w:t>
          </w:r>
        </w:sdtContent>
      </w:sdt>
      <w:r>
        <w:rPr>
          <w:rFonts w:hint="eastAsia" w:ascii="宋体" w:hAnsi="宋体" w:eastAsia="宋体"/>
          <w:color w:val="auto"/>
          <w:sz w:val="24"/>
          <w:szCs w:val="24"/>
          <w:highlight w:val="none"/>
        </w:rPr>
        <w:t>若卖方未向买方或买方指定的第三方物流商支付该仓储操作费及二次配送费用的，买方有权从卖方货款或4.1条约定的履约保证金总额中扣除相应费用。</w:t>
      </w:r>
    </w:p>
    <w:sdt>
      <w:sdtPr>
        <w:rPr>
          <w:rFonts w:hint="eastAsia" w:ascii="宋体" w:hAnsi="宋体" w:eastAsia="宋体" w:cstheme="minorBidi"/>
          <w:color w:val="auto"/>
          <w:kern w:val="2"/>
          <w:sz w:val="24"/>
          <w:szCs w:val="24"/>
          <w:highlight w:val="none"/>
          <w:lang w:val="en-US" w:eastAsia="zh-CN" w:bidi="ar-SA"/>
        </w:rPr>
        <w:id w:val="147463068"/>
        <w:placeholder>
          <w:docPart w:val="{59e6a312-1e79-48ee-97d2-3aea9e7220db}"/>
        </w:placeholder>
      </w:sdtPr>
      <w:sdtEndPr>
        <w:rPr>
          <w:rFonts w:hint="eastAsia" w:ascii="宋体" w:hAnsi="宋体" w:eastAsia="宋体" w:cstheme="minorBidi"/>
          <w:color w:val="auto"/>
          <w:kern w:val="2"/>
          <w:sz w:val="24"/>
          <w:szCs w:val="24"/>
          <w:highlight w:val="none"/>
          <w:lang w:val="en-US" w:eastAsia="zh-CN" w:bidi="ar-SA"/>
        </w:rPr>
      </w:sdtEndPr>
      <w:sdtContent>
        <w:p w14:paraId="02E17CD3">
          <w:pPr>
            <w:adjustRightInd w:val="0"/>
            <w:snapToGrid w:val="0"/>
            <w:spacing w:line="360" w:lineRule="auto"/>
            <w:ind w:firstLine="480" w:firstLineChars="200"/>
            <w:rPr>
              <w:rFonts w:hint="eastAsia"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p>
      </w:sdtContent>
    </w:sdt>
    <w:p w14:paraId="32B8478A">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2.3交货时间的特别约定</w:t>
      </w:r>
    </w:p>
    <w:p w14:paraId="15BE0CE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.3.1</w:t>
      </w:r>
      <w:r>
        <w:rPr>
          <w:rFonts w:hint="eastAsia" w:ascii="宋体" w:hAnsi="宋体" w:eastAsia="宋体"/>
          <w:color w:val="auto"/>
          <w:sz w:val="24"/>
          <w:szCs w:val="24"/>
          <w:highlight w:val="none"/>
        </w:rPr>
        <w:t>供货过程中，若出现暂时的配件型号变更或短缺等情况的，卖方须在买方发出《定货单》之日起</w:t>
      </w:r>
      <w:sdt>
        <w:sdtPr>
          <w:rPr>
            <w:rFonts w:hint="eastAsia" w:ascii="宋体" w:hAnsi="宋体" w:eastAsia="宋体" w:cstheme="minorBidi"/>
            <w:color w:val="auto"/>
            <w:kern w:val="2"/>
            <w:sz w:val="24"/>
            <w:szCs w:val="24"/>
            <w:highlight w:val="none"/>
            <w:lang w:val="en-US" w:eastAsia="zh-CN" w:bidi="ar-SA"/>
          </w:rPr>
          <w:id w:val="147470159"/>
          <w:placeholder>
            <w:docPart w:val="{2b2db9e6-2293-44fc-83ca-0afb91cc6bee}"/>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w:t>
          </w:r>
        </w:sdtContent>
      </w:sdt>
      <w:r>
        <w:rPr>
          <w:rFonts w:hint="eastAsia" w:ascii="宋体" w:hAnsi="宋体" w:eastAsia="宋体"/>
          <w:color w:val="auto"/>
          <w:sz w:val="24"/>
          <w:szCs w:val="24"/>
          <w:highlight w:val="none"/>
        </w:rPr>
        <w:t>个工作日内向买方和最终用户提供相应证明文件，并提供解决方案（但其价格不得高于成交价且配置配件的参数指标不得低于原来的要求）和买方、最终用户进行协商。经买方和最终用户认可后，卖方按最终确定的方案供货，货款按最终协商一致的价格结算，交货时间满足最终用户的要求。否则，按逾期交货处理。</w:t>
      </w:r>
    </w:p>
    <w:p w14:paraId="7D66B35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3.2</w:t>
      </w:r>
      <w:r>
        <w:rPr>
          <w:rFonts w:ascii="宋体" w:hAnsi="宋体" w:eastAsia="宋体" w:cs="宋体"/>
          <w:color w:val="auto"/>
          <w:sz w:val="24"/>
          <w:szCs w:val="24"/>
          <w:highlight w:val="none"/>
        </w:rPr>
        <w:t>若在合同期内有任何产品型号或配件升级变更，卖方应至少提前一个月书面通知买方相关信息（包括其升级产品型号、部件及详细配置方案）</w:t>
      </w:r>
      <w:sdt>
        <w:sdtPr>
          <w:rPr>
            <w:rFonts w:ascii="宋体" w:hAnsi="宋体" w:eastAsia="宋体" w:cs="宋体"/>
            <w:color w:val="auto"/>
            <w:kern w:val="2"/>
            <w:sz w:val="24"/>
            <w:szCs w:val="24"/>
            <w:highlight w:val="none"/>
            <w:lang w:val="en-US" w:eastAsia="zh-CN" w:bidi="ar-SA"/>
          </w:rPr>
          <w:id w:val="147461490"/>
          <w:placeholder>
            <w:docPart w:val="{71ae224c-6baa-4182-a8c8-91085e96a284}"/>
          </w:placeholder>
        </w:sdtPr>
        <w:sdtEndPr>
          <w:rPr>
            <w:rFonts w:ascii="宋体" w:hAnsi="宋体" w:eastAsia="宋体" w:cs="宋体"/>
            <w:color w:val="auto"/>
            <w:kern w:val="2"/>
            <w:sz w:val="24"/>
            <w:szCs w:val="24"/>
            <w:highlight w:val="none"/>
            <w:lang w:val="en-US" w:eastAsia="zh-CN" w:bidi="ar-SA"/>
          </w:rPr>
        </w:sdtEndPr>
        <w:sdtContent>
          <w:r>
            <w:rPr>
              <w:rFonts w:ascii="宋体" w:hAnsi="宋体" w:cs="宋体"/>
              <w:color w:val="auto"/>
              <w:kern w:val="2"/>
              <w:sz w:val="24"/>
              <w:szCs w:val="24"/>
              <w:highlight w:val="none"/>
              <w:lang w:eastAsia="zh-CN" w:bidi="ar-SA"/>
            </w:rPr>
            <w:t>，</w:t>
          </w:r>
        </w:sdtContent>
      </w:sdt>
      <w:r>
        <w:rPr>
          <w:rFonts w:ascii="宋体" w:hAnsi="宋体" w:eastAsia="宋体" w:cs="宋体"/>
          <w:color w:val="auto"/>
          <w:sz w:val="24"/>
          <w:szCs w:val="24"/>
          <w:highlight w:val="none"/>
        </w:rPr>
        <w:t>经买方书面同意后方可按升级后的产品（或配件）供货，价格按合同单价执行，交货时间按采购合同条款执行。同时，在买方同意之前，卖方仍应按原《定货单》的要求供货。否则，按逾期交货处理。</w:t>
      </w:r>
      <w:sdt>
        <w:sdtPr>
          <w:rPr>
            <w:rFonts w:ascii="宋体" w:hAnsi="宋体" w:eastAsia="宋体" w:cs="宋体"/>
            <w:color w:val="auto"/>
            <w:kern w:val="2"/>
            <w:sz w:val="24"/>
            <w:szCs w:val="24"/>
            <w:highlight w:val="none"/>
            <w:lang w:val="en-US" w:eastAsia="zh-CN" w:bidi="ar-SA"/>
          </w:rPr>
          <w:id w:val="147461712"/>
          <w:placeholder>
            <w:docPart w:val="{66c20564-e36c-4157-a56c-e34fae547ff1}"/>
          </w:placeholder>
        </w:sdtPr>
        <w:sdtEndPr>
          <w:rPr>
            <w:rFonts w:hint="eastAsia" w:ascii="宋体" w:hAnsi="宋体" w:eastAsia="宋体" w:cs="宋体"/>
            <w:color w:val="auto"/>
            <w:kern w:val="2"/>
            <w:sz w:val="24"/>
            <w:szCs w:val="24"/>
            <w:highlight w:val="none"/>
            <w:lang w:val="en-US" w:eastAsia="zh-CN" w:bidi="ar-SA"/>
          </w:rPr>
        </w:sdtEndPr>
        <w:sdtContent>
          <w:r>
            <w:rPr>
              <w:rFonts w:ascii="宋体" w:hAnsi="宋体" w:eastAsia="宋体" w:cs="宋体"/>
              <w:color w:val="auto"/>
              <w:sz w:val="24"/>
              <w:szCs w:val="24"/>
              <w:highlight w:val="none"/>
            </w:rPr>
            <w:t>经最终用户认可后，卖方可按升级后的产品（或配件）供货。若在合同期内卖方有任何产品型号或配件停产且无法提供符合买方要求的升级型号或配件则视为严重违约，卖方应按每款机型</w:t>
          </w:r>
          <w:r>
            <w:rPr>
              <w:rFonts w:ascii="宋体" w:hAnsi="宋体" w:eastAsia="宋体" w:cs="宋体"/>
              <w:color w:val="auto"/>
              <w:sz w:val="24"/>
              <w:szCs w:val="24"/>
              <w:highlight w:val="none"/>
              <w:u w:val="single"/>
            </w:rPr>
            <w:t>20000</w:t>
          </w:r>
          <w:r>
            <w:rPr>
              <w:rFonts w:ascii="宋体" w:hAnsi="宋体" w:eastAsia="宋体" w:cs="宋体"/>
              <w:color w:val="auto"/>
              <w:sz w:val="24"/>
              <w:szCs w:val="24"/>
              <w:highlight w:val="none"/>
            </w:rPr>
            <w:t>元向买方缴纳违约金，买方有权单方面解除中标合同</w:t>
          </w:r>
          <w:r>
            <w:rPr>
              <w:rFonts w:hint="eastAsia" w:ascii="宋体" w:hAnsi="宋体" w:eastAsia="宋体" w:cs="宋体"/>
              <w:color w:val="auto"/>
              <w:sz w:val="24"/>
              <w:szCs w:val="24"/>
              <w:highlight w:val="none"/>
            </w:rPr>
            <w:t>并</w:t>
          </w:r>
          <w:r>
            <w:rPr>
              <w:rFonts w:ascii="宋体" w:hAnsi="宋体" w:eastAsia="宋体" w:cs="宋体"/>
              <w:color w:val="auto"/>
              <w:sz w:val="24"/>
              <w:szCs w:val="24"/>
              <w:highlight w:val="none"/>
            </w:rPr>
            <w:t>没收</w:t>
          </w:r>
          <w:r>
            <w:rPr>
              <w:rFonts w:hint="eastAsia" w:ascii="宋体" w:hAnsi="宋体" w:eastAsia="宋体" w:cs="宋体"/>
              <w:color w:val="auto"/>
              <w:sz w:val="24"/>
              <w:szCs w:val="24"/>
              <w:highlight w:val="none"/>
            </w:rPr>
            <w:t>4.1条约定的全部</w:t>
          </w:r>
          <w:r>
            <w:rPr>
              <w:rFonts w:ascii="宋体" w:hAnsi="宋体" w:eastAsia="宋体" w:cs="宋体"/>
              <w:color w:val="auto"/>
              <w:sz w:val="24"/>
              <w:szCs w:val="24"/>
              <w:highlight w:val="none"/>
            </w:rPr>
            <w:t>履约保证金</w:t>
          </w:r>
          <w:r>
            <w:rPr>
              <w:rFonts w:ascii="宋体" w:hAnsi="宋体" w:cs="宋体"/>
              <w:color w:val="auto"/>
              <w:sz w:val="24"/>
              <w:szCs w:val="24"/>
              <w:highlight w:val="none"/>
            </w:rPr>
            <w:t>。</w:t>
          </w:r>
        </w:sdtContent>
      </w:sdt>
      <w:r>
        <w:rPr>
          <w:rFonts w:hint="default" w:ascii="宋体" w:hAnsi="宋体" w:cs="宋体"/>
          <w:color w:val="auto"/>
          <w:kern w:val="2"/>
          <w:sz w:val="24"/>
          <w:szCs w:val="24"/>
          <w:highlight w:val="none"/>
          <w:lang w:eastAsia="zh-CN" w:bidi="ar-SA"/>
        </w:rPr>
        <w:t xml:space="preserve">    </w:t>
      </w:r>
      <w:r>
        <w:rPr>
          <w:rFonts w:hint="eastAsia" w:ascii="宋体" w:hAnsi="宋体" w:eastAsia="宋体"/>
          <w:color w:val="auto"/>
          <w:sz w:val="24"/>
          <w:szCs w:val="24"/>
          <w:highlight w:val="none"/>
        </w:rPr>
        <w:t>2.3.</w:t>
      </w:r>
      <w:r>
        <w:rPr>
          <w:rFonts w:ascii="宋体" w:hAnsi="宋体" w:eastAsia="宋体"/>
          <w:color w:val="auto"/>
          <w:sz w:val="24"/>
          <w:szCs w:val="24"/>
          <w:highlight w:val="none"/>
        </w:rPr>
        <w:t>3</w:t>
      </w:r>
      <w:r>
        <w:rPr>
          <w:rFonts w:hint="eastAsia" w:ascii="宋体" w:hAnsi="宋体" w:eastAsia="宋体"/>
          <w:color w:val="auto"/>
          <w:sz w:val="24"/>
          <w:szCs w:val="24"/>
          <w:highlight w:val="none"/>
        </w:rPr>
        <w:t>但凡要求卖方更换整机的，重新交货时间按2.</w:t>
      </w:r>
      <w:r>
        <w:rPr>
          <w:rFonts w:ascii="宋体" w:hAnsi="宋体" w:eastAsia="宋体"/>
          <w:color w:val="auto"/>
          <w:sz w:val="24"/>
          <w:szCs w:val="24"/>
          <w:highlight w:val="none"/>
        </w:rPr>
        <w:t>2</w:t>
      </w:r>
      <w:r>
        <w:rPr>
          <w:rFonts w:hint="eastAsia" w:ascii="宋体" w:hAnsi="宋体" w:eastAsia="宋体"/>
          <w:color w:val="auto"/>
          <w:sz w:val="24"/>
          <w:szCs w:val="24"/>
          <w:highlight w:val="none"/>
        </w:rPr>
        <w:t>.1、</w:t>
      </w:r>
      <w:r>
        <w:rPr>
          <w:rFonts w:ascii="宋体" w:hAnsi="宋体" w:eastAsia="宋体"/>
          <w:color w:val="auto"/>
          <w:sz w:val="24"/>
          <w:szCs w:val="24"/>
          <w:highlight w:val="none"/>
        </w:rPr>
        <w:t>2</w:t>
      </w:r>
      <w:r>
        <w:rPr>
          <w:rFonts w:hint="eastAsia" w:ascii="宋体" w:hAnsi="宋体" w:eastAsia="宋体"/>
          <w:color w:val="auto"/>
          <w:sz w:val="24"/>
          <w:szCs w:val="24"/>
          <w:highlight w:val="none"/>
        </w:rPr>
        <w:t>.</w:t>
      </w:r>
      <w:r>
        <w:rPr>
          <w:rFonts w:ascii="宋体" w:hAnsi="宋体" w:eastAsia="宋体"/>
          <w:color w:val="auto"/>
          <w:sz w:val="24"/>
          <w:szCs w:val="24"/>
          <w:highlight w:val="none"/>
        </w:rPr>
        <w:t>2.2</w:t>
      </w:r>
      <w:r>
        <w:rPr>
          <w:rFonts w:hint="eastAsia" w:ascii="宋体" w:hAnsi="宋体" w:eastAsia="宋体"/>
          <w:color w:val="auto"/>
          <w:sz w:val="24"/>
          <w:szCs w:val="24"/>
          <w:highlight w:val="none"/>
        </w:rPr>
        <w:t>条执行。</w:t>
      </w:r>
    </w:p>
    <w:p w14:paraId="2845CB73">
      <w:pPr>
        <w:adjustRightInd w:val="0"/>
        <w:snapToGrid w:val="0"/>
        <w:spacing w:line="360" w:lineRule="auto"/>
        <w:ind w:firstLine="480" w:firstLineChars="200"/>
        <w:rPr>
          <w:color w:val="auto"/>
          <w:highlight w:val="none"/>
        </w:rPr>
      </w:pPr>
      <w:r>
        <w:rPr>
          <w:rFonts w:hint="eastAsia" w:ascii="宋体" w:hAnsi="宋体" w:eastAsia="宋体"/>
          <w:color w:val="auto"/>
          <w:sz w:val="24"/>
          <w:szCs w:val="24"/>
          <w:highlight w:val="none"/>
        </w:rPr>
        <w:t>2.3.</w:t>
      </w:r>
      <w:r>
        <w:rPr>
          <w:rFonts w:ascii="宋体" w:hAnsi="宋体" w:eastAsia="宋体"/>
          <w:color w:val="auto"/>
          <w:sz w:val="24"/>
          <w:szCs w:val="24"/>
          <w:highlight w:val="none"/>
        </w:rPr>
        <w:t>4</w:t>
      </w:r>
      <w:r>
        <w:rPr>
          <w:rFonts w:hint="eastAsia" w:ascii="宋体" w:hAnsi="宋体" w:eastAsia="宋体"/>
          <w:color w:val="auto"/>
          <w:sz w:val="24"/>
          <w:szCs w:val="24"/>
          <w:highlight w:val="none"/>
        </w:rPr>
        <w:t>卖方在收到《定货单》后应按买方要求加盖公章并以扫描件及时回复确认，但最迟不超过</w:t>
      </w:r>
      <w:sdt>
        <w:sdtPr>
          <w:rPr>
            <w:rFonts w:hint="default" w:ascii="宋体" w:hAnsi="宋体" w:eastAsia="宋体" w:cstheme="minorBidi"/>
            <w:color w:val="auto"/>
            <w:kern w:val="2"/>
            <w:sz w:val="24"/>
            <w:szCs w:val="24"/>
            <w:highlight w:val="none"/>
            <w:lang w:val="en-US" w:eastAsia="zh-CN" w:bidi="ar-SA"/>
          </w:rPr>
          <w:id w:val="147469995"/>
          <w:placeholder>
            <w:docPart w:val="{2d305a8e-0c3b-42e9-ac42-ffa51aac3ad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stheme="minorBidi"/>
              <w:color w:val="auto"/>
              <w:kern w:val="2"/>
              <w:sz w:val="24"/>
              <w:szCs w:val="24"/>
              <w:highlight w:val="none"/>
              <w:lang w:val="en-US" w:eastAsia="zh-CN" w:bidi="ar-SA"/>
            </w:rPr>
            <w:t>3</w:t>
          </w:r>
        </w:sdtContent>
      </w:sdt>
      <w:r>
        <w:rPr>
          <w:rFonts w:hint="eastAsia" w:ascii="宋体" w:hAnsi="宋体" w:eastAsia="宋体"/>
          <w:color w:val="auto"/>
          <w:sz w:val="24"/>
          <w:szCs w:val="24"/>
          <w:highlight w:val="none"/>
        </w:rPr>
        <w:t>个日历日。若《定货单》发出之日起</w:t>
      </w:r>
      <w:sdt>
        <w:sdtPr>
          <w:rPr>
            <w:rFonts w:hint="eastAsia" w:ascii="宋体" w:hAnsi="宋体" w:eastAsia="宋体" w:cstheme="minorBidi"/>
            <w:color w:val="auto"/>
            <w:kern w:val="2"/>
            <w:sz w:val="24"/>
            <w:szCs w:val="24"/>
            <w:highlight w:val="none"/>
            <w:lang w:val="en-US" w:eastAsia="zh-CN" w:bidi="ar-SA"/>
          </w:rPr>
          <w:id w:val="147469973"/>
          <w:placeholder>
            <w:docPart w:val="{21835dd3-ae63-4b35-9585-cacbd5c276a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lang w:val="en-US" w:eastAsia="zh-CN"/>
            </w:rPr>
            <w:t>3</w:t>
          </w:r>
        </w:sdtContent>
      </w:sdt>
      <w:r>
        <w:rPr>
          <w:rFonts w:hint="eastAsia" w:ascii="宋体" w:hAnsi="宋体" w:eastAsia="宋体"/>
          <w:color w:val="auto"/>
          <w:sz w:val="24"/>
          <w:szCs w:val="24"/>
          <w:highlight w:val="none"/>
        </w:rPr>
        <w:t>个日历日内卖方未按买方要求予以确认的，则卖方同意自第</w:t>
      </w:r>
      <w:sdt>
        <w:sdtPr>
          <w:rPr>
            <w:rFonts w:hint="eastAsia" w:ascii="宋体" w:hAnsi="宋体" w:eastAsia="宋体" w:cstheme="minorBidi"/>
            <w:color w:val="auto"/>
            <w:kern w:val="2"/>
            <w:sz w:val="24"/>
            <w:szCs w:val="24"/>
            <w:highlight w:val="none"/>
            <w:lang w:val="en-US" w:eastAsia="zh-CN" w:bidi="ar-SA"/>
          </w:rPr>
          <w:id w:val="147460814"/>
          <w:placeholder>
            <w:docPart w:val="{8395a31e-0b27-4fd2-a1dc-f60967afec1f}"/>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w:t>
          </w:r>
        </w:sdtContent>
      </w:sdt>
      <w:r>
        <w:rPr>
          <w:rFonts w:hint="eastAsia" w:ascii="宋体" w:hAnsi="宋体" w:eastAsia="宋体"/>
          <w:color w:val="auto"/>
          <w:sz w:val="24"/>
          <w:szCs w:val="24"/>
          <w:highlight w:val="none"/>
        </w:rPr>
        <w:t>个日历日起计算交货期。</w:t>
      </w:r>
      <w:sdt>
        <w:sdtPr>
          <w:rPr>
            <w:rFonts w:hint="eastAsia" w:ascii="宋体" w:hAnsi="宋体" w:eastAsia="宋体" w:cstheme="minorBidi"/>
            <w:color w:val="auto"/>
            <w:kern w:val="2"/>
            <w:sz w:val="24"/>
            <w:szCs w:val="24"/>
            <w:highlight w:val="none"/>
            <w:lang w:val="en-US" w:eastAsia="zh-CN" w:bidi="ar-SA"/>
          </w:rPr>
          <w:id w:val="147460726"/>
          <w:placeholder>
            <w:docPart w:val="{29e1d2a7-7a9b-4e57-a770-55613d3dcac8}"/>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sdt>
      <w:sdtPr>
        <w:rPr>
          <w:rFonts w:hint="eastAsia" w:ascii="宋体" w:hAnsi="宋体" w:eastAsia="宋体" w:cstheme="minorBidi"/>
          <w:color w:val="auto"/>
          <w:kern w:val="2"/>
          <w:sz w:val="24"/>
          <w:szCs w:val="24"/>
          <w:highlight w:val="none"/>
          <w:lang w:val="en-US" w:eastAsia="zh-CN" w:bidi="ar-SA"/>
        </w:rPr>
        <w:id w:val="147469946"/>
        <w:placeholder>
          <w:docPart w:val="{6fa2c665-d416-41a3-8a7c-ab1ca1aed4c6}"/>
        </w:placeholder>
      </w:sdtPr>
      <w:sdtEndPr>
        <w:rPr>
          <w:rFonts w:hint="eastAsia" w:ascii="宋体" w:hAnsi="宋体" w:eastAsia="宋体" w:cstheme="minorBidi"/>
          <w:color w:val="auto"/>
          <w:kern w:val="2"/>
          <w:sz w:val="24"/>
          <w:szCs w:val="24"/>
          <w:highlight w:val="none"/>
          <w:lang w:val="en-US" w:eastAsia="zh-CN" w:bidi="ar-SA"/>
        </w:rPr>
      </w:sdtEndPr>
      <w:sdtContent>
        <w:p w14:paraId="77B2B2CC">
          <w:pPr>
            <w:adjustRightInd w:val="0"/>
            <w:snapToGrid w:val="0"/>
            <w:spacing w:line="360" w:lineRule="auto"/>
            <w:ind w:firstLine="480" w:firstLineChars="200"/>
            <w:rPr>
              <w:rFonts w:hint="eastAsia"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p>
      </w:sdtContent>
    </w:sdt>
    <w:p w14:paraId="175EF895">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3、供货清单</w:t>
      </w:r>
    </w:p>
    <w:sdt>
      <w:sdtPr>
        <w:rPr>
          <w:rFonts w:hint="eastAsia" w:ascii="宋体" w:hAnsi="宋体" w:eastAsia="宋体" w:cstheme="minorBidi"/>
          <w:color w:val="auto"/>
          <w:kern w:val="2"/>
          <w:sz w:val="24"/>
          <w:szCs w:val="24"/>
          <w:highlight w:val="none"/>
          <w:lang w:val="en-US" w:eastAsia="zh-CN" w:bidi="ar-SA"/>
        </w:rPr>
        <w:id w:val="147460400"/>
        <w:placeholder>
          <w:docPart w:val="{07029dca-263c-43bb-a807-38db0f01571e}"/>
        </w:placeholder>
      </w:sdtPr>
      <w:sdtEndPr>
        <w:rPr>
          <w:rFonts w:hint="eastAsia" w:ascii="宋体" w:hAnsi="宋体" w:eastAsia="宋体" w:cstheme="minorBidi"/>
          <w:color w:val="auto"/>
          <w:kern w:val="2"/>
          <w:sz w:val="24"/>
          <w:szCs w:val="24"/>
          <w:highlight w:val="none"/>
          <w:lang w:val="en-US" w:eastAsia="zh-CN" w:bidi="ar-SA"/>
        </w:rPr>
      </w:sdtEndPr>
      <w:sdtContent>
        <w:p w14:paraId="103AA390">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r>
            <w:rPr>
              <w:rFonts w:hint="eastAsia" w:ascii="宋体" w:hAnsi="宋体" w:eastAsia="宋体"/>
              <w:color w:val="auto"/>
              <w:sz w:val="24"/>
              <w:szCs w:val="24"/>
              <w:highlight w:val="none"/>
            </w:rPr>
            <w:t>3.1供货清单：包括产品主机、随机备品备件、专用工具的名称及数量。</w:t>
          </w:r>
        </w:p>
      </w:sdtContent>
    </w:sdt>
    <w:p w14:paraId="68BA6E7D">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4、付款方式与条件</w:t>
      </w:r>
    </w:p>
    <w:p w14:paraId="4BCD817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4.1履约保证金</w:t>
      </w:r>
    </w:p>
    <w:sdt>
      <w:sdtPr>
        <w:rPr>
          <w:rFonts w:hint="eastAsia" w:ascii="宋体" w:hAnsi="宋体" w:eastAsia="宋体" w:cstheme="minorBidi"/>
          <w:color w:val="auto"/>
          <w:kern w:val="2"/>
          <w:sz w:val="24"/>
          <w:szCs w:val="24"/>
          <w:highlight w:val="none"/>
          <w:lang w:val="en-US" w:eastAsia="zh-CN" w:bidi="ar-SA"/>
        </w:rPr>
        <w:id w:val="147459903"/>
        <w:placeholder>
          <w:docPart w:val="{a07d3f3d-9d8b-49bf-becb-7f791aba61e2}"/>
        </w:placeholder>
      </w:sdtPr>
      <w:sdtEndPr>
        <w:rPr>
          <w:rFonts w:hint="eastAsia" w:ascii="宋体" w:hAnsi="宋体" w:eastAsia="宋体" w:cstheme="minorBidi"/>
          <w:color w:val="auto"/>
          <w:kern w:val="2"/>
          <w:sz w:val="24"/>
          <w:szCs w:val="24"/>
          <w:highlight w:val="none"/>
          <w:lang w:val="en-US" w:eastAsia="zh-CN" w:bidi="ar-SA"/>
        </w:rPr>
      </w:sdtEndPr>
      <w:sdtContent>
        <w:p w14:paraId="1758560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4.1.1卖方应在合同签订之日起7个日历日内向买方缴交合同总金额</w:t>
          </w:r>
          <w:r>
            <w:rPr>
              <w:rFonts w:hint="eastAsia" w:ascii="宋体" w:hAnsi="宋体" w:eastAsia="宋体"/>
              <w:color w:val="auto"/>
              <w:sz w:val="24"/>
              <w:szCs w:val="24"/>
              <w:highlight w:val="none"/>
              <w:u w:val="single"/>
              <w:lang w:val="en-US" w:eastAsia="zh-CN"/>
            </w:rPr>
            <w:t>2</w:t>
          </w:r>
          <w:r>
            <w:rPr>
              <w:rFonts w:hint="eastAsia" w:ascii="宋体" w:hAnsi="宋体" w:eastAsia="宋体"/>
              <w:color w:val="auto"/>
              <w:sz w:val="24"/>
              <w:szCs w:val="24"/>
              <w:highlight w:val="none"/>
              <w:u w:val="single"/>
            </w:rPr>
            <w:t>%</w:t>
          </w:r>
          <w:r>
            <w:rPr>
              <w:rFonts w:hint="eastAsia" w:ascii="宋体" w:hAnsi="宋体" w:eastAsia="宋体"/>
              <w:color w:val="auto"/>
              <w:sz w:val="24"/>
              <w:szCs w:val="24"/>
              <w:highlight w:val="none"/>
            </w:rPr>
            <w:t>的供货履约保证金及合同总金额</w:t>
          </w:r>
          <w:r>
            <w:rPr>
              <w:rFonts w:hint="eastAsia" w:ascii="宋体" w:hAnsi="宋体" w:eastAsia="宋体"/>
              <w:color w:val="auto"/>
              <w:sz w:val="24"/>
              <w:szCs w:val="24"/>
              <w:highlight w:val="none"/>
              <w:lang w:val="en-US" w:eastAsia="zh-CN"/>
            </w:rPr>
            <w:t>3</w:t>
          </w:r>
          <w:r>
            <w:rPr>
              <w:rFonts w:hint="eastAsia" w:ascii="宋体" w:hAnsi="宋体" w:eastAsia="宋体"/>
              <w:color w:val="auto"/>
              <w:sz w:val="24"/>
              <w:szCs w:val="24"/>
              <w:highlight w:val="none"/>
            </w:rPr>
            <w:t>%的服务履约保证金。供货履约保证金，买方于本合同有效期满且最后一批次货物供货完成后</w:t>
          </w:r>
          <w:r>
            <w:rPr>
              <w:rFonts w:hint="eastAsia" w:ascii="宋体" w:hAnsi="宋体" w:eastAsia="宋体"/>
              <w:color w:val="auto"/>
              <w:sz w:val="24"/>
              <w:szCs w:val="24"/>
              <w:highlight w:val="none"/>
              <w:u w:val="single"/>
              <w:lang w:val="en-US" w:eastAsia="zh-CN"/>
            </w:rPr>
            <w:t>2</w:t>
          </w:r>
          <w:r>
            <w:rPr>
              <w:rFonts w:ascii="宋体" w:hAnsi="宋体" w:eastAsia="宋体"/>
              <w:color w:val="auto"/>
              <w:sz w:val="24"/>
              <w:szCs w:val="24"/>
              <w:highlight w:val="none"/>
              <w:u w:val="single"/>
            </w:rPr>
            <w:t>0</w:t>
          </w:r>
          <w:r>
            <w:rPr>
              <w:rFonts w:hint="eastAsia" w:ascii="宋体" w:hAnsi="宋体" w:eastAsia="宋体"/>
              <w:color w:val="auto"/>
              <w:sz w:val="24"/>
              <w:szCs w:val="24"/>
              <w:highlight w:val="none"/>
            </w:rPr>
            <w:t>个工作日内一次性无息支付给卖方（扣除相应的违约金、赔偿金）。服务履约保证金，买方于本合同有效期内最后一批次货物保修期届满后</w:t>
          </w:r>
          <w:r>
            <w:rPr>
              <w:rFonts w:hint="eastAsia" w:ascii="宋体" w:hAnsi="宋体" w:eastAsia="宋体"/>
              <w:color w:val="auto"/>
              <w:sz w:val="24"/>
              <w:szCs w:val="24"/>
              <w:highlight w:val="none"/>
              <w:u w:val="single"/>
              <w:lang w:val="en-US" w:eastAsia="zh-CN"/>
            </w:rPr>
            <w:t>2</w:t>
          </w:r>
          <w:r>
            <w:rPr>
              <w:rFonts w:ascii="宋体" w:hAnsi="宋体" w:eastAsia="宋体"/>
              <w:color w:val="auto"/>
              <w:sz w:val="24"/>
              <w:szCs w:val="24"/>
              <w:highlight w:val="none"/>
              <w:u w:val="single"/>
            </w:rPr>
            <w:t>0</w:t>
          </w:r>
          <w:r>
            <w:rPr>
              <w:rFonts w:hint="eastAsia" w:ascii="宋体" w:hAnsi="宋体" w:eastAsia="宋体"/>
              <w:color w:val="auto"/>
              <w:sz w:val="24"/>
              <w:szCs w:val="24"/>
              <w:highlight w:val="none"/>
            </w:rPr>
            <w:t>个工作日内一次性无息支付给卖方（扣除相应的违约金、赔偿金）。</w:t>
          </w:r>
        </w:p>
      </w:sdtContent>
    </w:sdt>
    <w:p w14:paraId="2D93FF4A">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sdt>
        <w:sdtPr>
          <w:rPr>
            <w:rFonts w:hint="eastAsia" w:ascii="宋体" w:hAnsi="宋体" w:eastAsia="宋体" w:cstheme="minorBidi"/>
            <w:color w:val="auto"/>
            <w:kern w:val="2"/>
            <w:sz w:val="24"/>
            <w:szCs w:val="24"/>
            <w:highlight w:val="none"/>
            <w:lang w:val="en-US" w:eastAsia="zh-CN" w:bidi="ar-SA"/>
          </w:rPr>
          <w:id w:val="147459887"/>
          <w:placeholder>
            <w:docPart w:val="{d207013f-d567-4296-bace-5ccfd446d8df}"/>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4.1.2卖方因违约行为导致履约保证金被买方扣除的，卖方应于被扣除之日起7个日历日内补足，使履约保证金金额满足4.1.1约定的要求。</w:t>
          </w:r>
        </w:sdtContent>
      </w:sdt>
      <w:sdt>
        <w:sdtPr>
          <w:rPr>
            <w:rFonts w:hint="eastAsia" w:ascii="宋体" w:hAnsi="宋体" w:eastAsia="宋体" w:cstheme="minorBidi"/>
            <w:color w:val="auto"/>
            <w:kern w:val="2"/>
            <w:sz w:val="24"/>
            <w:szCs w:val="24"/>
            <w:highlight w:val="none"/>
            <w:lang w:val="en-US" w:eastAsia="zh-CN" w:bidi="ar-SA"/>
          </w:rPr>
          <w:id w:val="147459864"/>
          <w:placeholder>
            <w:docPart w:val="{1cf31f4b-0e5b-42ba-8884-a5b032252239}"/>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14:paraId="11BFB3D2">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4.2买方按批次支付货款。</w:t>
      </w:r>
    </w:p>
    <w:p w14:paraId="1F665F0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4.2.1货物送仓库后再送最终用户的，货交买方仓库经买方初验合格后，买方凭如下单证和文件在</w:t>
      </w:r>
      <w:sdt>
        <w:sdtPr>
          <w:rPr>
            <w:rFonts w:hint="eastAsia" w:ascii="宋体" w:hAnsi="宋体" w:eastAsia="宋体" w:cstheme="minorBidi"/>
            <w:color w:val="auto"/>
            <w:kern w:val="2"/>
            <w:sz w:val="24"/>
            <w:szCs w:val="24"/>
            <w:highlight w:val="none"/>
            <w:lang w:val="en-US" w:eastAsia="zh-CN" w:bidi="ar-SA"/>
          </w:rPr>
          <w:id w:val="147459622"/>
          <w:placeholder>
            <w:docPart w:val="{4632aacf-d699-47a5-ae9c-5d6a602a5110}"/>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rPr>
            <w:t>45</w:t>
          </w:r>
        </w:sdtContent>
      </w:sdt>
      <w:r>
        <w:rPr>
          <w:rFonts w:hint="eastAsia" w:ascii="宋体" w:hAnsi="宋体" w:eastAsia="宋体"/>
          <w:color w:val="auto"/>
          <w:sz w:val="24"/>
          <w:szCs w:val="24"/>
          <w:highlight w:val="none"/>
        </w:rPr>
        <w:t>个日历日内向卖方一次性支付至该批次货款的</w:t>
      </w:r>
      <w:sdt>
        <w:sdtPr>
          <w:rPr>
            <w:rFonts w:hint="eastAsia" w:ascii="宋体" w:hAnsi="宋体" w:eastAsia="宋体" w:cstheme="minorBidi"/>
            <w:color w:val="auto"/>
            <w:kern w:val="2"/>
            <w:sz w:val="24"/>
            <w:szCs w:val="24"/>
            <w:highlight w:val="none"/>
            <w:lang w:val="en-US" w:eastAsia="zh-CN" w:bidi="ar-SA"/>
          </w:rPr>
          <w:id w:val="147459596"/>
          <w:placeholder>
            <w:docPart w:val="{48274115-475b-4a9b-a513-847d48a5d5f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100 %</w:t>
          </w:r>
        </w:sdtContent>
      </w:sdt>
      <w:r>
        <w:rPr>
          <w:rFonts w:hint="eastAsia" w:ascii="宋体" w:hAnsi="宋体" w:eastAsia="宋体"/>
          <w:color w:val="auto"/>
          <w:sz w:val="24"/>
          <w:szCs w:val="24"/>
          <w:highlight w:val="none"/>
        </w:rPr>
        <w:t>：</w:t>
      </w:r>
    </w:p>
    <w:p w14:paraId="133797C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w:t>
      </w:r>
      <w:sdt>
        <w:sdtPr>
          <w:rPr>
            <w:rFonts w:hint="eastAsia" w:ascii="宋体" w:hAnsi="宋体" w:eastAsia="宋体" w:cstheme="minorBidi"/>
            <w:color w:val="auto"/>
            <w:kern w:val="2"/>
            <w:sz w:val="24"/>
            <w:szCs w:val="24"/>
            <w:highlight w:val="none"/>
            <w:lang w:val="en-US" w:eastAsia="zh-CN" w:bidi="ar-SA"/>
          </w:rPr>
          <w:id w:val="844772823"/>
          <w:placeholder>
            <w:docPart w:val="{44cc353a-efec-4e1e-9a33-81448511134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w:t>
          </w:r>
        </w:sdtContent>
      </w:sdt>
      <w:r>
        <w:rPr>
          <w:rFonts w:hint="eastAsia" w:ascii="宋体" w:hAnsi="宋体" w:eastAsia="宋体"/>
          <w:color w:val="auto"/>
          <w:sz w:val="24"/>
          <w:szCs w:val="24"/>
          <w:highlight w:val="none"/>
        </w:rPr>
        <w:t>的该批次货款的一般纳税人增值税专用发票；</w:t>
      </w:r>
    </w:p>
    <w:p w14:paraId="5560B5B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b.卖方已缴纳该批货物的中标/成交服务费和</w:t>
      </w:r>
      <w:bookmarkStart w:id="7" w:name="_Hlk107934010"/>
      <w:r>
        <w:rPr>
          <w:rFonts w:hint="eastAsia" w:ascii="宋体" w:hAnsi="宋体" w:eastAsia="宋体"/>
          <w:color w:val="auto"/>
          <w:sz w:val="24"/>
          <w:szCs w:val="24"/>
          <w:highlight w:val="none"/>
        </w:rPr>
        <w:t>2.2.3的</w:t>
      </w:r>
      <w:bookmarkEnd w:id="7"/>
      <w:r>
        <w:rPr>
          <w:rFonts w:hint="eastAsia" w:ascii="宋体" w:hAnsi="宋体" w:eastAsia="宋体"/>
          <w:color w:val="auto"/>
          <w:sz w:val="24"/>
          <w:szCs w:val="24"/>
          <w:highlight w:val="none"/>
        </w:rPr>
        <w:t>二次配送费用、仓储操作费的证明材料；</w:t>
      </w:r>
    </w:p>
    <w:p w14:paraId="41C20D43">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c.买方已收讫的该批次货物的《签收单》。</w:t>
      </w:r>
      <w:r>
        <w:rPr>
          <w:rFonts w:hint="default" w:ascii="宋体" w:hAnsi="宋体" w:cstheme="minorBidi"/>
          <w:color w:val="auto"/>
          <w:kern w:val="2"/>
          <w:sz w:val="24"/>
          <w:szCs w:val="24"/>
          <w:highlight w:val="none"/>
          <w:lang w:eastAsia="zh-CN" w:bidi="ar-SA"/>
        </w:rPr>
        <w:t xml:space="preserve"> </w:t>
      </w:r>
      <w:sdt>
        <w:sdtPr>
          <w:rPr>
            <w:rFonts w:hint="eastAsia" w:ascii="宋体" w:hAnsi="宋体" w:eastAsia="宋体" w:cstheme="minorBidi"/>
            <w:color w:val="auto"/>
            <w:kern w:val="2"/>
            <w:sz w:val="24"/>
            <w:szCs w:val="24"/>
            <w:highlight w:val="none"/>
            <w:lang w:val="en-US" w:eastAsia="zh-CN" w:bidi="ar-SA"/>
          </w:rPr>
          <w:id w:val="147459521"/>
          <w:placeholder>
            <w:docPart w:val="{4fb1114c-eb69-43cc-b9c1-a76854906251}"/>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14:paraId="198F4441">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但是，买方向卖方支付货款并不表示送入仓库的货物通过最终验收。</w:t>
      </w:r>
    </w:p>
    <w:p w14:paraId="5FE5124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4.2.2货物直送最终用户的，该批次货物经安装调试完毕并经最终验收合格后，买方凭如下单证和文件在</w:t>
      </w:r>
      <w:sdt>
        <w:sdtPr>
          <w:rPr>
            <w:rFonts w:hint="eastAsia" w:ascii="宋体" w:hAnsi="宋体" w:eastAsia="宋体" w:cstheme="minorBidi"/>
            <w:color w:val="auto"/>
            <w:kern w:val="2"/>
            <w:sz w:val="24"/>
            <w:szCs w:val="24"/>
            <w:highlight w:val="none"/>
            <w:lang w:val="en-US" w:eastAsia="zh-CN" w:bidi="ar-SA"/>
          </w:rPr>
          <w:id w:val="255886650"/>
          <w:placeholder>
            <w:docPart w:val="{07cff8e2-8a49-4cb9-bb14-6c1ad75b5bbf}"/>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rPr>
            <w:t>45</w:t>
          </w:r>
        </w:sdtContent>
      </w:sdt>
      <w:r>
        <w:rPr>
          <w:rFonts w:hint="eastAsia" w:ascii="宋体" w:hAnsi="宋体" w:eastAsia="宋体"/>
          <w:color w:val="auto"/>
          <w:sz w:val="24"/>
          <w:szCs w:val="24"/>
          <w:highlight w:val="none"/>
        </w:rPr>
        <w:t>个日历日内向卖方一次性付清该批次货款的</w:t>
      </w:r>
      <w:sdt>
        <w:sdtPr>
          <w:rPr>
            <w:rFonts w:hint="eastAsia" w:ascii="宋体" w:hAnsi="宋体" w:eastAsia="宋体" w:cstheme="minorBidi"/>
            <w:color w:val="auto"/>
            <w:kern w:val="2"/>
            <w:sz w:val="24"/>
            <w:szCs w:val="24"/>
            <w:highlight w:val="none"/>
            <w:lang w:val="en-US" w:eastAsia="zh-CN" w:bidi="ar-SA"/>
          </w:rPr>
          <w:id w:val="151267880"/>
          <w:placeholder>
            <w:docPart w:val="{e7a5bd85-64f0-476a-865b-d2289298570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全款</w:t>
          </w:r>
        </w:sdtContent>
      </w:sdt>
      <w:r>
        <w:rPr>
          <w:rFonts w:hint="eastAsia" w:ascii="宋体" w:hAnsi="宋体" w:eastAsia="宋体"/>
          <w:color w:val="auto"/>
          <w:sz w:val="24"/>
          <w:szCs w:val="24"/>
          <w:highlight w:val="none"/>
        </w:rPr>
        <w:t>。</w:t>
      </w:r>
    </w:p>
    <w:p w14:paraId="2FF5DFE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w:t>
      </w:r>
      <w:sdt>
        <w:sdtPr>
          <w:rPr>
            <w:rFonts w:hint="eastAsia" w:ascii="宋体" w:hAnsi="宋体" w:eastAsia="宋体" w:cstheme="minorBidi"/>
            <w:color w:val="auto"/>
            <w:kern w:val="2"/>
            <w:sz w:val="24"/>
            <w:szCs w:val="24"/>
            <w:highlight w:val="none"/>
            <w:lang w:val="en-US" w:eastAsia="zh-CN" w:bidi="ar-SA"/>
          </w:rPr>
          <w:id w:val="288350785"/>
          <w:placeholder>
            <w:docPart w:val="{5948db65-2039-4293-9143-4ce55a9d82c8}"/>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w:t>
          </w:r>
        </w:sdtContent>
      </w:sdt>
      <w:r>
        <w:rPr>
          <w:rFonts w:hint="eastAsia" w:ascii="宋体" w:hAnsi="宋体" w:eastAsia="宋体"/>
          <w:color w:val="auto"/>
          <w:sz w:val="24"/>
          <w:szCs w:val="24"/>
          <w:highlight w:val="none"/>
        </w:rPr>
        <w:t>的该批次货款的一般纳税人增值税专用发票；</w:t>
      </w:r>
    </w:p>
    <w:p w14:paraId="58CA264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b.卖方已缴纳该批货物的成交服务费的证明材料；</w:t>
      </w:r>
    </w:p>
    <w:p w14:paraId="57D4A92A">
      <w:pPr>
        <w:adjustRightInd w:val="0"/>
        <w:snapToGrid w:val="0"/>
        <w:spacing w:line="360" w:lineRule="auto"/>
        <w:ind w:firstLine="480" w:firstLineChars="200"/>
        <w:rPr>
          <w:rFonts w:hint="default" w:ascii="宋体" w:hAnsi="宋体" w:eastAsia="宋体" w:cstheme="minorBidi"/>
          <w:color w:val="auto"/>
          <w:kern w:val="2"/>
          <w:sz w:val="24"/>
          <w:szCs w:val="24"/>
          <w:highlight w:val="none"/>
          <w:lang w:eastAsia="zh-CN" w:bidi="ar-SA"/>
        </w:rPr>
      </w:pPr>
      <w:r>
        <w:rPr>
          <w:rFonts w:hint="eastAsia" w:ascii="宋体" w:hAnsi="宋体" w:eastAsia="宋体"/>
          <w:color w:val="auto"/>
          <w:sz w:val="24"/>
          <w:szCs w:val="24"/>
          <w:highlight w:val="none"/>
        </w:rPr>
        <w:t>c.该批次货物的《验收报告》(经最终用户签署)。</w:t>
      </w:r>
      <w:r>
        <w:rPr>
          <w:rFonts w:hint="default" w:ascii="宋体" w:hAnsi="宋体"/>
          <w:color w:val="auto"/>
          <w:sz w:val="24"/>
          <w:szCs w:val="24"/>
          <w:highlight w:val="none"/>
        </w:rPr>
        <w:t xml:space="preserve"> </w:t>
      </w:r>
      <w:sdt>
        <w:sdtPr>
          <w:rPr>
            <w:rFonts w:hint="eastAsia" w:ascii="宋体" w:hAnsi="宋体" w:eastAsia="宋体" w:cstheme="minorBidi"/>
            <w:color w:val="auto"/>
            <w:kern w:val="2"/>
            <w:sz w:val="24"/>
            <w:szCs w:val="24"/>
            <w:highlight w:val="none"/>
            <w:lang w:val="en-US" w:eastAsia="zh-CN" w:bidi="ar-SA"/>
          </w:rPr>
          <w:id w:val="147459335"/>
          <w:placeholder>
            <w:docPart w:val="{091b5590-c08b-4cbc-9ad5-dc9c68f26528}"/>
          </w:placeholder>
        </w:sdtPr>
        <w:sdtEndPr>
          <w:rPr>
            <w:rFonts w:hint="eastAsia" w:ascii="宋体" w:hAnsi="宋体" w:eastAsia="宋体" w:cstheme="minorBidi"/>
            <w:color w:val="auto"/>
            <w:kern w:val="2"/>
            <w:sz w:val="24"/>
            <w:szCs w:val="24"/>
            <w:highlight w:val="none"/>
            <w:lang w:val="en-US" w:eastAsia="zh-CN" w:bidi="ar-SA"/>
          </w:rPr>
        </w:sdtEndPr>
        <w:sdtContent/>
      </w:sdt>
      <w:r>
        <w:rPr>
          <w:rFonts w:hint="default" w:ascii="宋体" w:hAnsi="宋体" w:cstheme="minorBidi"/>
          <w:color w:val="auto"/>
          <w:kern w:val="2"/>
          <w:sz w:val="24"/>
          <w:szCs w:val="24"/>
          <w:highlight w:val="none"/>
          <w:lang w:eastAsia="zh-CN" w:bidi="ar-SA"/>
        </w:rPr>
        <w:t xml:space="preserve"> </w:t>
      </w:r>
    </w:p>
    <w:p w14:paraId="42730FB1">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5、质量要求和技术标准</w:t>
      </w:r>
    </w:p>
    <w:p w14:paraId="358EC36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5.1卖方保证提供的所有产品的技术参数指标与合同附件1（技术参数）中对应产品的技术参数指标相一致。 </w:t>
      </w:r>
    </w:p>
    <w:p w14:paraId="0EB4D46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5.2卖方保证提供的所有产品（包括所有配件、备件等）均是符合国家标准的、全新的、原产制造并经检验合格的、未使用过的、正宗品牌产品，否则买方有权退货。 </w:t>
      </w:r>
    </w:p>
    <w:p w14:paraId="7CCFD6D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5.3卖方承诺不拆换、不调换、不截留产品零部件；不以少充多、不以旧充新，不以劣充优，不以假充真；不提供降低产品等级标准的产品。否则买方有权退货。 </w:t>
      </w:r>
    </w:p>
    <w:p w14:paraId="79775FA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5.4包装要求：卖方保证提供的所有合同产品均是厂家出厂的原包装；且必须采用相应标准及保护措施进行包装，这种包装应适应于相应的运输方式，并有良好的防潮、防震、防锈和防野蛮装卸等保护措施，以便保证货物安全运抵现场。货物在运输途中所发生锈、损坏和丢失的损失由卖方承担责任和费用。每件包装应附有详细装箱清单和质量合格证书。最终用户对包装破损的货物有权拒收，卖方承诺予以更换。 </w:t>
      </w:r>
    </w:p>
    <w:p w14:paraId="1E3A304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5.5卖方保证厂家出厂随机所安装的相关软件为正版软件。 </w:t>
      </w:r>
      <w:sdt>
        <w:sdtPr>
          <w:rPr>
            <w:rFonts w:hint="eastAsia" w:ascii="宋体" w:hAnsi="宋体" w:eastAsia="宋体" w:cstheme="minorBidi"/>
            <w:color w:val="auto"/>
            <w:kern w:val="2"/>
            <w:sz w:val="24"/>
            <w:szCs w:val="24"/>
            <w:highlight w:val="none"/>
            <w:lang w:val="en-US" w:eastAsia="zh-CN" w:bidi="ar-SA"/>
          </w:rPr>
          <w:id w:val="147458336"/>
          <w:placeholder>
            <w:docPart w:val="{b0529363-bc48-45cc-92a5-570d605c5999}"/>
          </w:placeholder>
          <w:showingPlcHdr/>
        </w:sdtPr>
        <w:sdtEndPr>
          <w:rPr>
            <w:rFonts w:hint="eastAsia" w:ascii="宋体" w:hAnsi="宋体" w:eastAsia="宋体" w:cstheme="minorBidi"/>
            <w:color w:val="auto"/>
            <w:kern w:val="2"/>
            <w:sz w:val="24"/>
            <w:szCs w:val="24"/>
            <w:highlight w:val="none"/>
            <w:lang w:val="en-US" w:eastAsia="zh-CN" w:bidi="ar-SA"/>
          </w:rPr>
        </w:sdtEndPr>
        <w:sdtContent>
          <w:r>
            <w:rPr>
              <w:color w:val="auto"/>
              <w:highlight w:val="none"/>
            </w:rPr>
            <w:t>单击此处输入文字。</w:t>
          </w:r>
        </w:sdtContent>
      </w:sdt>
    </w:p>
    <w:p w14:paraId="2A0EBCC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5.6卖方保证提供的产品的技术性能、综合质量的稳定性和可靠性；保证提供的产品符合国家质量、技术、环保、安全、节能、保密等相关法律、法规和政策要求及商检标准和电工标准。 </w:t>
      </w:r>
    </w:p>
    <w:p w14:paraId="0457AB4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5.7卖方承诺提供货物制造厂商的合格证书。</w:t>
      </w:r>
    </w:p>
    <w:sdt>
      <w:sdtPr>
        <w:rPr>
          <w:rFonts w:hint="eastAsia" w:ascii="宋体" w:hAnsi="宋体" w:eastAsia="宋体" w:cstheme="minorBidi"/>
          <w:color w:val="auto"/>
          <w:kern w:val="2"/>
          <w:sz w:val="24"/>
          <w:szCs w:val="24"/>
          <w:highlight w:val="none"/>
          <w:lang w:val="en-US" w:eastAsia="zh-CN" w:bidi="ar-SA"/>
        </w:rPr>
        <w:id w:val="147469600"/>
        <w:placeholder>
          <w:docPart w:val="{a564c982-f952-4173-9169-4d51c1eb55d8}"/>
        </w:placeholder>
      </w:sdtPr>
      <w:sdtEndPr>
        <w:rPr>
          <w:rFonts w:hint="eastAsia" w:ascii="宋体" w:hAnsi="宋体" w:eastAsia="宋体" w:cstheme="minorBidi"/>
          <w:color w:val="auto"/>
          <w:kern w:val="2"/>
          <w:sz w:val="24"/>
          <w:szCs w:val="24"/>
          <w:highlight w:val="none"/>
          <w:lang w:val="en-US" w:eastAsia="zh-CN" w:bidi="ar-SA"/>
        </w:rPr>
      </w:sdtEndPr>
      <w:sdtContent>
        <w:p w14:paraId="36657DE8">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5.8卖方保证配合买方及产品检验检测机构进行合同产品的检验检测，产品检验检测的一切相关费用由卖方承担。</w:t>
          </w:r>
        </w:p>
      </w:sdtContent>
    </w:sdt>
    <w:p w14:paraId="0DAAB111">
      <w:pPr>
        <w:adjustRightInd w:val="0"/>
        <w:snapToGrid w:val="0"/>
        <w:spacing w:line="360" w:lineRule="auto"/>
        <w:ind w:firstLine="0" w:firstLineChars="0"/>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6、安装要求</w:t>
      </w:r>
    </w:p>
    <w:sdt>
      <w:sdtPr>
        <w:rPr>
          <w:rFonts w:ascii="宋体" w:hAnsi="宋体" w:eastAsia="宋体" w:cstheme="minorBidi"/>
          <w:color w:val="auto"/>
          <w:kern w:val="2"/>
          <w:sz w:val="24"/>
          <w:szCs w:val="24"/>
          <w:highlight w:val="none"/>
          <w:lang w:val="en-US" w:eastAsia="zh-CN" w:bidi="ar-SA"/>
        </w:rPr>
        <w:id w:val="147469316"/>
        <w:placeholder>
          <w:docPart w:val="{7c14c86a-89a6-42af-97e1-b0b07ab31da5}"/>
        </w:placeholder>
      </w:sdtPr>
      <w:sdtEndPr>
        <w:rPr>
          <w:rFonts w:hint="eastAsia" w:ascii="宋体" w:hAnsi="宋体" w:eastAsia="宋体" w:cstheme="minorBidi"/>
          <w:color w:val="auto"/>
          <w:kern w:val="2"/>
          <w:sz w:val="24"/>
          <w:szCs w:val="24"/>
          <w:highlight w:val="none"/>
          <w:lang w:val="en-US" w:eastAsia="zh-CN" w:bidi="ar-SA"/>
        </w:rPr>
      </w:sdtEndPr>
      <w:sdtContent>
        <w:p w14:paraId="2CD7C910">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w:t>
          </w:r>
          <w:r>
            <w:rPr>
              <w:rFonts w:hint="eastAsia" w:ascii="宋体" w:hAnsi="宋体" w:eastAsia="宋体"/>
              <w:color w:val="auto"/>
              <w:sz w:val="24"/>
              <w:szCs w:val="24"/>
              <w:highlight w:val="none"/>
            </w:rPr>
            <w:t>.</w:t>
          </w:r>
          <w:r>
            <w:rPr>
              <w:rFonts w:ascii="宋体" w:hAnsi="宋体" w:eastAsia="宋体"/>
              <w:color w:val="auto"/>
              <w:sz w:val="24"/>
              <w:szCs w:val="24"/>
              <w:highlight w:val="none"/>
            </w:rPr>
            <w:t>1</w:t>
          </w:r>
          <w:r>
            <w:rPr>
              <w:rFonts w:hint="eastAsia" w:ascii="宋体" w:hAnsi="宋体" w:eastAsia="宋体"/>
              <w:color w:val="auto"/>
              <w:sz w:val="24"/>
              <w:szCs w:val="24"/>
              <w:highlight w:val="none"/>
            </w:rPr>
            <w:t>卖方负责货物（设备）的安装，在接到买方或最终用户的安装要求后4个小时内安排安装服务人员到达指定地点进行安装调试，安装调试完成后三日内将最终用户确认的最终验收合格交付单及时反馈给买方：</w:t>
          </w:r>
        </w:p>
        <w:p w14:paraId="1C07263E">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6.2</w:t>
          </w:r>
          <w:r>
            <w:rPr>
              <w:rFonts w:hint="eastAsia" w:ascii="宋体" w:hAnsi="宋体" w:eastAsia="宋体"/>
              <w:color w:val="auto"/>
              <w:sz w:val="24"/>
              <w:szCs w:val="24"/>
              <w:highlight w:val="none"/>
            </w:rPr>
            <w:t>安装前应做到：</w:t>
          </w:r>
        </w:p>
        <w:p w14:paraId="25ACB55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1)安装前应与最终用户核对机器型号和台数，确认无误后再安装；</w:t>
          </w:r>
        </w:p>
        <w:p w14:paraId="6BF8957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2)上门服务人员应着售后服务供应商工作牌；</w:t>
          </w:r>
        </w:p>
        <w:p w14:paraId="7F64BDA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3)安装前应检查最终用户的电源电压是否安全稳定，如有问题，应及时告知最终用户，协商整改。</w:t>
          </w:r>
        </w:p>
        <w:p w14:paraId="4F2E41B2">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6.3</w:t>
          </w:r>
          <w:r>
            <w:rPr>
              <w:rFonts w:hint="eastAsia" w:ascii="宋体" w:hAnsi="宋体" w:eastAsia="宋体"/>
              <w:color w:val="auto"/>
              <w:sz w:val="24"/>
              <w:szCs w:val="24"/>
              <w:highlight w:val="none"/>
            </w:rPr>
            <w:t>安装过程中应做到：</w:t>
          </w:r>
        </w:p>
        <w:p w14:paraId="2FE3715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1) 开箱验机，检查设备外观完好； </w:t>
          </w:r>
        </w:p>
        <w:p w14:paraId="244A53A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 检查每台机器的服务编号；</w:t>
          </w:r>
        </w:p>
        <w:p w14:paraId="471A7A4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3) 如果设备在运输过程中出现损伤，卖方应负责免费给最终用户更换同型号新设备；  </w:t>
          </w:r>
        </w:p>
        <w:p w14:paraId="7831196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4) 设备安装到最终用户所指定的位置上，如位置无法正常安装，应与最终用户协商，提出解决方案； </w:t>
          </w:r>
        </w:p>
        <w:p w14:paraId="5660F7A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 给新机器连接线缆； </w:t>
          </w:r>
        </w:p>
        <w:p w14:paraId="3CAF396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6) 安装完成之后开机测试，并根据最终用户的需求进行设置。</w:t>
          </w:r>
        </w:p>
        <w:p w14:paraId="4376FDB9">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6.4</w:t>
          </w:r>
          <w:r>
            <w:rPr>
              <w:rFonts w:hint="eastAsia" w:ascii="宋体" w:hAnsi="宋体" w:eastAsia="宋体"/>
              <w:color w:val="auto"/>
              <w:sz w:val="24"/>
              <w:szCs w:val="24"/>
              <w:highlight w:val="none"/>
            </w:rPr>
            <w:t>安装完成后应做到：</w:t>
          </w:r>
        </w:p>
        <w:p w14:paraId="1A32694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1)安装完毕，确认产品的正常运行；</w:t>
          </w:r>
        </w:p>
        <w:p w14:paraId="382A180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2)安装完毕，应为每台机器注册信息, 并向最终用户详细讲解保修条例；如没有注册信息而导致机器在保修期内无法免费保修的情况，卖方应负责相关维修费用；</w:t>
          </w:r>
        </w:p>
        <w:p w14:paraId="7B728DC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3)安装完毕，应向最终用户详细讲解使用操作方法和日常维护保养措施，耐心解答最终用户提出的问题，留下服务电话；并在设备合适的地方填(贴)上机器信息（包括报修电话、机器序列号及服务号），方便最终用户报修；</w:t>
          </w:r>
        </w:p>
        <w:p w14:paraId="10A864E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4）安装完毕，应把工作现场打扫干净，将工具等物品复位；</w:t>
          </w:r>
        </w:p>
        <w:p w14:paraId="0951D26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5）安装完毕，应按照买方要求填写验收报告，三个工作日内报送给买方。</w:t>
          </w:r>
        </w:p>
        <w:p w14:paraId="6D4AB02C">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6.5</w:t>
          </w:r>
          <w:r>
            <w:rPr>
              <w:rFonts w:hint="eastAsia" w:ascii="宋体" w:hAnsi="宋体" w:eastAsia="宋体"/>
              <w:color w:val="auto"/>
              <w:sz w:val="24"/>
              <w:szCs w:val="24"/>
              <w:highlight w:val="none"/>
            </w:rPr>
            <w:t>卖方应按买方要求，每日制作报表反馈安装及验收报告签收情况。其他报表需求也应按买方要求提供。</w:t>
          </w:r>
        </w:p>
      </w:sdtContent>
    </w:sdt>
    <w:p w14:paraId="04D2A6D1">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7</w:t>
      </w:r>
      <w:r>
        <w:rPr>
          <w:rFonts w:hint="eastAsia" w:ascii="宋体" w:hAnsi="宋体" w:eastAsia="宋体"/>
          <w:b/>
          <w:bCs/>
          <w:color w:val="auto"/>
          <w:sz w:val="24"/>
          <w:szCs w:val="24"/>
          <w:highlight w:val="none"/>
        </w:rPr>
        <w:t>、验收标准及办法</w:t>
      </w:r>
    </w:p>
    <w:sdt>
      <w:sdtPr>
        <w:rPr>
          <w:rFonts w:ascii="宋体" w:hAnsi="宋体" w:eastAsia="宋体" w:cs="Times New Roman"/>
          <w:color w:val="auto"/>
          <w:kern w:val="2"/>
          <w:sz w:val="24"/>
          <w:szCs w:val="24"/>
          <w:highlight w:val="none"/>
          <w:lang w:val="en-US" w:eastAsia="zh-CN" w:bidi="ar-SA"/>
        </w:rPr>
        <w:id w:val="147469280"/>
        <w:placeholder>
          <w:docPart w:val="{eb505473-b008-4bba-8590-23f8e0fffc6e}"/>
        </w:placeholder>
      </w:sdtPr>
      <w:sdtEndPr>
        <w:rPr>
          <w:rFonts w:hint="eastAsia" w:ascii="宋体" w:hAnsi="宋体" w:eastAsia="宋体" w:cs="Times New Roman"/>
          <w:color w:val="auto"/>
          <w:kern w:val="2"/>
          <w:sz w:val="24"/>
          <w:szCs w:val="24"/>
          <w:highlight w:val="none"/>
          <w:lang w:val="en-US" w:eastAsia="zh-CN" w:bidi="ar-SA"/>
        </w:rPr>
      </w:sdtEndPr>
      <w:sdtContent>
        <w:p w14:paraId="316D122B">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.1初步验收：货物运抵买方指定地点后由买方或最终用户对照《定货单》对货物的外观、包装及数量进行验收。卖方应按买方要求填写《签收单》等单据。</w:t>
          </w:r>
        </w:p>
        <w:p w14:paraId="10DEE1BD">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.2最终验收：卖方根据合同要求进行设备安装、调试后，应按买方要求填写《验收报告》等单据并经最终用户签署确认后，三个工作日内报送给买方。</w:t>
          </w:r>
        </w:p>
        <w:p w14:paraId="54FED81D">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.3验收时（包括初验和最终验收），卖方必须派代表参加并确认验收结果。</w:t>
          </w:r>
        </w:p>
        <w:p w14:paraId="4F647BDD">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.4移交使用：最终验收合格后，卖方应在最终用户要求的时间内将合同设备移交最终用户使用。合同货物毁损、灭失的风险自移交使用之日起转移。</w:t>
          </w:r>
        </w:p>
        <w:p w14:paraId="5AB3C122">
          <w:pPr>
            <w:pStyle w:val="21"/>
            <w:adjustRightInd w:val="0"/>
            <w:snapToGrid w:val="0"/>
            <w:spacing w:line="360" w:lineRule="auto"/>
            <w:ind w:firstLine="480"/>
            <w:jc w:val="left"/>
            <w:rPr>
              <w:rFonts w:hint="eastAsia"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.5买方有权自行委托我国相关具有检验资质的部门、单位、机构针对卖方产品的精度、性能进行检验。其检验结果将作为验收标准的组成部分之一。</w:t>
          </w:r>
        </w:p>
        <w:p w14:paraId="30232C86">
          <w:pPr>
            <w:pStyle w:val="21"/>
            <w:keepNext w:val="0"/>
            <w:keepLines w:val="0"/>
            <w:pageBreakBefore w:val="0"/>
            <w:widowControl/>
            <w:wordWrap/>
            <w:topLinePunct w:val="0"/>
            <w:autoSpaceDE/>
            <w:autoSpaceDN/>
            <w:bidi w:val="0"/>
            <w:adjustRightInd/>
            <w:snapToGrid/>
            <w:spacing w:line="360" w:lineRule="auto"/>
            <w:ind w:left="0" w:firstLine="420"/>
            <w:rPr>
              <w:rFonts w:ascii="宋体" w:hAnsi="宋体"/>
              <w:color w:val="auto"/>
              <w:kern w:val="2"/>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lang w:eastAsia="zh-CN"/>
            </w:rPr>
            <w:t>验收时（包括初验和最终验收），卖方必须派代表参加并确认验收结果，否则视为卖方对验收意见无异议。如该批次产品在最终验收时，出现开箱破损或者故障，无法进行最终验收的，卖方无条件给予更换新机并保证最终验收的顺畅进行。若卖方不同意更换新机或者配合，买方有权直接于卖方的履约保证金中扣除该批次产品及安装的等额费用。</w:t>
          </w:r>
        </w:p>
      </w:sdtContent>
    </w:sdt>
    <w:p w14:paraId="09EE9E87">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8</w:t>
      </w:r>
      <w:r>
        <w:rPr>
          <w:rFonts w:hint="eastAsia" w:ascii="宋体" w:hAnsi="宋体" w:eastAsia="宋体"/>
          <w:b/>
          <w:bCs/>
          <w:color w:val="auto"/>
          <w:sz w:val="24"/>
          <w:szCs w:val="24"/>
          <w:highlight w:val="none"/>
        </w:rPr>
        <w:t>、售后服务</w:t>
      </w:r>
      <w:sdt>
        <w:sdtPr>
          <w:rPr>
            <w:rFonts w:hint="eastAsia" w:ascii="宋体" w:hAnsi="宋体" w:eastAsia="宋体" w:cstheme="minorBidi"/>
            <w:b/>
            <w:bCs/>
            <w:color w:val="auto"/>
            <w:kern w:val="2"/>
            <w:sz w:val="24"/>
            <w:szCs w:val="24"/>
            <w:highlight w:val="none"/>
            <w:lang w:val="en-US" w:eastAsia="zh-CN" w:bidi="ar-SA"/>
          </w:rPr>
          <w:id w:val="147468633"/>
          <w:placeholder>
            <w:docPart w:val="{5289ec6c-b419-4ef8-9ef0-c2c1ec81f907}"/>
          </w:placeholder>
        </w:sdtPr>
        <w:sdtEndPr>
          <w:rPr>
            <w:rFonts w:hint="eastAsia" w:ascii="宋体" w:hAnsi="宋体" w:eastAsia="宋体" w:cstheme="minorBidi"/>
            <w:b/>
            <w:bCs/>
            <w:color w:val="auto"/>
            <w:kern w:val="2"/>
            <w:sz w:val="24"/>
            <w:szCs w:val="24"/>
            <w:highlight w:val="none"/>
            <w:lang w:val="en-US" w:eastAsia="zh-CN" w:bidi="ar-SA"/>
          </w:rPr>
        </w:sdtEndPr>
        <w:sdtContent>
          <w:r>
            <w:rPr>
              <w:rFonts w:hint="default" w:ascii="宋体" w:hAnsi="宋体" w:cstheme="minorBidi"/>
              <w:b/>
              <w:bCs/>
              <w:color w:val="auto"/>
              <w:kern w:val="2"/>
              <w:sz w:val="24"/>
              <w:szCs w:val="24"/>
              <w:highlight w:val="none"/>
              <w:lang w:eastAsia="zh-CN" w:bidi="ar-SA"/>
            </w:rPr>
            <w:t xml:space="preserve"> </w:t>
          </w:r>
        </w:sdtContent>
      </w:sdt>
    </w:p>
    <w:sdt>
      <w:sdtPr>
        <w:rPr>
          <w:rFonts w:ascii="宋体" w:hAnsi="宋体" w:eastAsia="宋体" w:cstheme="minorBidi"/>
          <w:color w:val="auto"/>
          <w:kern w:val="2"/>
          <w:sz w:val="24"/>
          <w:szCs w:val="24"/>
          <w:highlight w:val="none"/>
          <w:lang w:val="en-US" w:eastAsia="zh-CN" w:bidi="ar-SA"/>
        </w:rPr>
        <w:id w:val="147468183"/>
        <w:placeholder>
          <w:docPart w:val="{9b7fb261-464a-438f-a597-e209dfe9db48}"/>
        </w:placeholder>
      </w:sdtPr>
      <w:sdtEndPr>
        <w:rPr>
          <w:rFonts w:hint="eastAsia" w:ascii="宋体" w:hAnsi="宋体" w:eastAsia="宋体" w:cstheme="minorBidi"/>
          <w:color w:val="auto"/>
          <w:kern w:val="2"/>
          <w:sz w:val="24"/>
          <w:szCs w:val="24"/>
          <w:highlight w:val="none"/>
          <w:lang w:val="en-US" w:eastAsia="zh-CN" w:bidi="ar-SA"/>
        </w:rPr>
      </w:sdtEndPr>
      <w:sdtContent>
        <w:p w14:paraId="14ACB870">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.1合同设备的保修期为自最终验收合格之日起计算    年,</w:t>
          </w:r>
          <w:r>
            <w:rPr>
              <w:rFonts w:hint="eastAsia" w:ascii="宋体" w:hAnsi="宋体" w:eastAsia="宋体"/>
              <w:color w:val="auto"/>
              <w:sz w:val="24"/>
              <w:szCs w:val="24"/>
              <w:highlight w:val="none"/>
              <w:lang w:eastAsia="zh-CN"/>
            </w:rPr>
            <w:t>保修期内</w:t>
          </w:r>
          <w:r>
            <w:rPr>
              <w:rFonts w:hint="eastAsia" w:ascii="宋体" w:hAnsi="宋体" w:eastAsia="宋体"/>
              <w:color w:val="auto"/>
              <w:sz w:val="24"/>
              <w:szCs w:val="24"/>
              <w:highlight w:val="none"/>
            </w:rPr>
            <w:t>免费上门提供售后服务</w:t>
          </w:r>
          <w:r>
            <w:rPr>
              <w:rFonts w:hint="eastAsia" w:ascii="宋体" w:hAnsi="宋体" w:eastAsia="宋体"/>
              <w:color w:val="auto"/>
              <w:sz w:val="24"/>
              <w:szCs w:val="24"/>
              <w:highlight w:val="none"/>
              <w:lang w:eastAsia="zh-CN"/>
            </w:rPr>
            <w:t>和免费更换零配件</w:t>
          </w:r>
          <w:r>
            <w:rPr>
              <w:rFonts w:hint="eastAsia" w:ascii="宋体" w:hAnsi="宋体" w:eastAsia="宋体"/>
              <w:color w:val="auto"/>
              <w:sz w:val="24"/>
              <w:szCs w:val="24"/>
              <w:highlight w:val="none"/>
            </w:rPr>
            <w:t>。同时保证保修年限不低于合同货物中品牌型号的官网标准。</w:t>
          </w:r>
        </w:p>
        <w:p w14:paraId="731E91B1">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2卖方应按《部分商品修理更换退货责任规定》规定执行售后服务，产品出现性能故障的，应严格按照《部分商品修理更换退货责任规定》处理。上述规定要求与本合同其他条款有不一致的，按对最终用户较有利的条款执行。</w:t>
          </w:r>
        </w:p>
        <w:p w14:paraId="52CDBF9C">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.3卖方应自合同设备经最终验收合格之日起对合同设备在保修期内提供免费维护的服务，保修期外提供有偿的维护服务。</w:t>
          </w:r>
        </w:p>
        <w:p w14:paraId="06D0FB7D">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.4卖方应开通厦门本地的售后服务专线电话，供所有合同设备服务专用。售后服务专线电话应</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小时实时响应；卖方接到买方或最终用户的报修电话，应在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分钟内电话响应，</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个工作小时内到达，到达后</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个工作小时内修复；若在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无法修复的，卖方应先提供备用机供最终用户使用，直至设备修复；如卖方所提供的备用机与故障机的型号不同，则需免费提供耗材。如果卖方未在承诺的时间内将设备修复或者提供备用机的，则卖方应按200.00元/台/天向买方支付逾期违约金,但是违约金上限不超过合同设备总金额的1%。(注：上门服务时间主要根据最终用户需求而定，假如最终用户需要第二天上门处理的，应根据最终用户要求的时间上门；如果最终用户需要节假日或晚上19：30后上门，卖方也应根据最终用户的要求上门服务。如无特殊情况，须按照上述标准来服务。)</w:t>
          </w:r>
        </w:p>
        <w:p w14:paraId="55713D77">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.5超出保修期的维修，卖方应向最终用户说明产品已过保，告知最终用户备件费、上门费及服务费，并向最终用户说明备件保修时间及保修方式，征得最终用户同意后再维修,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w:t>
          </w:r>
          <w:bookmarkStart w:id="8" w:name="_Hlk107908053"/>
          <w:r>
            <w:rPr>
              <w:rFonts w:hint="eastAsia" w:ascii="宋体" w:hAnsi="宋体" w:eastAsia="宋体"/>
              <w:color w:val="auto"/>
              <w:sz w:val="24"/>
              <w:szCs w:val="24"/>
              <w:highlight w:val="none"/>
            </w:rPr>
            <w:t>根据买方或最终用户的要求</w:t>
          </w:r>
          <w:bookmarkEnd w:id="8"/>
          <w:r>
            <w:rPr>
              <w:rFonts w:hint="eastAsia" w:ascii="宋体" w:hAnsi="宋体" w:eastAsia="宋体"/>
              <w:color w:val="auto"/>
              <w:sz w:val="24"/>
              <w:szCs w:val="24"/>
              <w:highlight w:val="none"/>
            </w:rPr>
            <w:t>提供发票。</w:t>
          </w:r>
        </w:p>
        <w:p w14:paraId="205A7C64">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.6 合同设备</w:t>
          </w:r>
          <w:bookmarkStart w:id="9" w:name="_Hlk107906917"/>
          <w:r>
            <w:rPr>
              <w:rFonts w:hint="eastAsia" w:ascii="宋体" w:hAnsi="宋体" w:eastAsia="宋体"/>
              <w:color w:val="auto"/>
              <w:sz w:val="24"/>
              <w:szCs w:val="24"/>
              <w:highlight w:val="none"/>
            </w:rPr>
            <w:t>通过最终验收并交付后</w:t>
          </w:r>
          <w:bookmarkEnd w:id="9"/>
          <w:r>
            <w:rPr>
              <w:rFonts w:hint="eastAsia" w:ascii="宋体" w:hAnsi="宋体" w:eastAsia="宋体"/>
              <w:color w:val="auto"/>
              <w:sz w:val="24"/>
              <w:szCs w:val="24"/>
              <w:highlight w:val="none"/>
            </w:rPr>
            <w:t>15天内出现故障，卖方应免费为最终用户更换同型号新整机；保修期内，发生产品性能故障维修2次及以上仍不能正常使用的，卖方应负责为最终用户免费更换同型号的新机。若合同设备的型号机器停产，卖方应与最终用户协商，更换其他型号的新机，更换的新机型性能不得低于故障机。换机后的新机，保修期限从换机之日起开始重新计算。因产品故障造成退、换机情况的，由卖方直接与最终用户办理退换机流程，并在5个工作日内送达最终用户处更换，不再经过买方仓库，卖方应将退换机涉及的相关单据、凭证等材料在退还后【</w:t>
          </w:r>
          <w:r>
            <w:rPr>
              <w:rFonts w:hint="eastAsia" w:ascii="宋体" w:hAnsi="宋体" w:eastAsia="宋体"/>
              <w:color w:val="auto"/>
              <w:sz w:val="24"/>
              <w:szCs w:val="24"/>
              <w:highlight w:val="none"/>
              <w:lang w:val="en-US" w:eastAsia="zh-CN"/>
            </w:rPr>
            <w:t>5</w:t>
          </w:r>
          <w:r>
            <w:rPr>
              <w:rFonts w:hint="eastAsia" w:ascii="宋体" w:hAnsi="宋体" w:eastAsia="宋体"/>
              <w:color w:val="auto"/>
              <w:sz w:val="24"/>
              <w:szCs w:val="24"/>
              <w:highlight w:val="none"/>
            </w:rPr>
            <w:t>】日内交付给买方。</w:t>
          </w:r>
        </w:p>
        <w:p w14:paraId="128F158A">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.7卖方应为合同设备提供免费的上门安装调试服务，安装后产品故障保修由厦门当地维修站提供。</w:t>
          </w:r>
        </w:p>
        <w:p w14:paraId="3D507624">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.8在设备的质保期内买方在合同设备的使用过程中，如发现并经双方确认证实产品存在质量隐患或者有严重的质量问题，买方有权要求卖方退换受影响的产品，由此产生的运输费等直接费用由卖方承担。</w:t>
          </w:r>
        </w:p>
        <w:p w14:paraId="50284310">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.9卖方应按最终用户的要求，每季度、每半年或每年一次，对合同设备进行保养服务，并将上门服务结果及时反馈给买方。</w:t>
          </w:r>
        </w:p>
        <w:p w14:paraId="255C94E7">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10卖方在上门服务时，如果最终用户其它品牌设备出现故障需要卖方的工程师帮助解决，卖方的工程师不得拒绝最终用户的要求，在条件许可的前提下为最终用户服务；如果无法修复，应协助最终用户报修相应的技术售后服务网点或给出可行的解决方案供最终用户参考。</w:t>
          </w:r>
        </w:p>
        <w:p w14:paraId="3B135A5A">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.11卖方在</w:t>
          </w:r>
          <w:r>
            <w:rPr>
              <w:rFonts w:hint="eastAsia" w:ascii="宋体" w:hAnsi="宋体" w:eastAsia="宋体"/>
              <w:color w:val="auto"/>
              <w:sz w:val="24"/>
              <w:szCs w:val="24"/>
              <w:highlight w:val="none"/>
              <w:u w:val="single"/>
            </w:rPr>
            <w:t>厦门</w:t>
          </w:r>
          <w:r>
            <w:rPr>
              <w:rFonts w:hint="eastAsia" w:ascii="宋体" w:hAnsi="宋体" w:eastAsia="宋体"/>
              <w:color w:val="auto"/>
              <w:sz w:val="24"/>
              <w:szCs w:val="24"/>
              <w:highlight w:val="none"/>
            </w:rPr>
            <w:t>地区拥有充足的备品备件，可以保证合同设备在正常损坏情况下，及时给最终用户提供保修或更换；超出保修期的合同设备，卖方应保证在二年内能及时提供产品维修所需的备件。</w:t>
          </w:r>
        </w:p>
        <w:p w14:paraId="4BF5BEDD">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.12卖方应为合同设备建立完整的客户档案，保修期内，当合同设备发生维修，而最终用户无法提供发票或保修卡时，卖方应根据自身留存的档案，为最终用户提供应有的保修服务。</w:t>
          </w:r>
        </w:p>
        <w:p w14:paraId="549B9E00">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.13卖方应对合同设备进行100%的电话回访，每月初向买方提供上月的回访汇总报表及服务明细；当卖方在接到最终用户投诉时，要在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分钟之内应响，</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个工作小时内开始处理，</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个工作日之内处理完；处理完最终用户的投诉，应及时将处理结果反馈给买方。</w:t>
          </w:r>
        </w:p>
        <w:p w14:paraId="217BBB11">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.14卖方应根据最终用户的需求开办合同设备的免费培训课程。</w:t>
          </w:r>
        </w:p>
        <w:p w14:paraId="1BEE0BFD">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.15卖方不得以任何方式对买方隐瞒和欺骗服务情况，买方需要卖方提供的报表不得有虚假，上门服务工程师不得以任何方式引导最终用户对买方回访的回答。</w:t>
          </w:r>
        </w:p>
      </w:sdtContent>
    </w:sdt>
    <w:p w14:paraId="1F4A2248">
      <w:pPr>
        <w:adjustRightInd w:val="0"/>
        <w:snapToGrid w:val="0"/>
        <w:spacing w:line="360" w:lineRule="auto"/>
        <w:rPr>
          <w:rFonts w:ascii="宋体" w:hAnsi="宋体" w:eastAsia="宋体"/>
          <w:b/>
          <w:bCs/>
          <w:color w:val="auto"/>
          <w:sz w:val="24"/>
          <w:szCs w:val="24"/>
          <w:highlight w:val="none"/>
        </w:rPr>
      </w:pPr>
      <w:r>
        <w:rPr>
          <w:rFonts w:ascii="宋体" w:hAnsi="宋体" w:eastAsia="宋体"/>
          <w:color w:val="auto"/>
          <w:sz w:val="24"/>
          <w:szCs w:val="24"/>
          <w:highlight w:val="none"/>
        </w:rPr>
        <w:t>9</w:t>
      </w:r>
      <w:r>
        <w:rPr>
          <w:rFonts w:hint="eastAsia" w:ascii="宋体" w:hAnsi="宋体" w:eastAsia="宋体"/>
          <w:b/>
          <w:bCs/>
          <w:color w:val="auto"/>
          <w:sz w:val="24"/>
          <w:szCs w:val="24"/>
          <w:highlight w:val="none"/>
        </w:rPr>
        <w:t>、知识产权</w:t>
      </w:r>
    </w:p>
    <w:sdt>
      <w:sdtPr>
        <w:rPr>
          <w:rFonts w:hint="eastAsia" w:ascii="宋体" w:hAnsi="宋体" w:eastAsia="宋体" w:cstheme="minorBidi"/>
          <w:color w:val="auto"/>
          <w:kern w:val="2"/>
          <w:sz w:val="24"/>
          <w:szCs w:val="24"/>
          <w:highlight w:val="none"/>
          <w:lang w:val="en-US" w:eastAsia="zh-CN" w:bidi="ar-SA"/>
        </w:rPr>
        <w:id w:val="147467846"/>
        <w:placeholder>
          <w:docPart w:val="{e6fac67c-2b0d-4cd9-8d93-ef4e6e7bca34}"/>
        </w:placeholder>
      </w:sdtPr>
      <w:sdtEndPr>
        <w:rPr>
          <w:rFonts w:hint="eastAsia" w:ascii="宋体" w:hAnsi="宋体" w:eastAsia="宋体" w:cstheme="minorBidi"/>
          <w:color w:val="auto"/>
          <w:kern w:val="2"/>
          <w:sz w:val="24"/>
          <w:szCs w:val="24"/>
          <w:highlight w:val="none"/>
          <w:lang w:val="en-US" w:eastAsia="zh-CN" w:bidi="ar-SA"/>
        </w:rPr>
      </w:sdtEndPr>
      <w:sdtContent>
        <w:p w14:paraId="2DB041FF">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卖方保证买方或最终用户在使用该品牌产品时不受到第三方关于侵犯知识产权的指控和索赔。如果任何第三方提出侵权指控或索赔，买方或最终用户有权将该等指控或索赔转告卖方。买方或最终用户对于该等索赔不承担责任，卖方应妥善处理该等纠纷，并承担处理该等侵权索赔的抗辩费用、经卖方谈判的和解费用及法院判决的赔偿等相关。</w:t>
          </w:r>
        </w:p>
        <w:p w14:paraId="3F6E61EB">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同时，买方有权自费参与针对该等侵权索赔的应诉抗辩或和解，买方因此支出的费用和损失均由卖方承担，且买方有权在本合同的卖方保证金和买方应付货款中扣除前述费用。</w:t>
          </w:r>
        </w:p>
      </w:sdtContent>
    </w:sdt>
    <w:p w14:paraId="118A1934">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10</w:t>
      </w:r>
      <w:r>
        <w:rPr>
          <w:rFonts w:hint="eastAsia" w:ascii="宋体" w:hAnsi="宋体" w:eastAsia="宋体"/>
          <w:b/>
          <w:bCs/>
          <w:color w:val="auto"/>
          <w:sz w:val="24"/>
          <w:szCs w:val="24"/>
          <w:highlight w:val="none"/>
        </w:rPr>
        <w:t>、违约责任</w:t>
      </w:r>
    </w:p>
    <w:p w14:paraId="208B2E87">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.1卖方若未能按时将保质足量产品送到买方仓库或最终用户指定地点的、或未能按时完成安装调试的，卖方应向买方每日支付当批货款</w:t>
      </w:r>
      <w:sdt>
        <w:sdtPr>
          <w:rPr>
            <w:rFonts w:hint="eastAsia" w:ascii="宋体" w:hAnsi="宋体" w:eastAsia="宋体" w:cstheme="minorBidi"/>
            <w:color w:val="auto"/>
            <w:kern w:val="2"/>
            <w:sz w:val="24"/>
            <w:szCs w:val="24"/>
            <w:highlight w:val="none"/>
            <w:lang w:val="en-US" w:eastAsia="zh-CN" w:bidi="ar-SA"/>
          </w:rPr>
          <w:id w:val="147467784"/>
          <w:placeholder>
            <w:docPart w:val="{2cd88010-854c-4c91-8add-68572c7f713e}"/>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0.5%</w:t>
          </w:r>
        </w:sdtContent>
      </w:sdt>
      <w:r>
        <w:rPr>
          <w:rFonts w:hint="eastAsia" w:ascii="宋体" w:hAnsi="宋体" w:eastAsia="宋体"/>
          <w:color w:val="auto"/>
          <w:sz w:val="24"/>
          <w:szCs w:val="24"/>
          <w:highlight w:val="none"/>
        </w:rPr>
        <w:t>的逾期违约金。单批次（单个</w:t>
      </w:r>
      <w:r>
        <w:rPr>
          <w:rFonts w:ascii="宋体" w:hAnsi="宋体" w:eastAsia="宋体" w:cs="宋体"/>
          <w:color w:val="auto"/>
          <w:sz w:val="24"/>
          <w:szCs w:val="24"/>
          <w:highlight w:val="none"/>
        </w:rPr>
        <w:t>《定货单》</w:t>
      </w:r>
      <w:r>
        <w:rPr>
          <w:rFonts w:hint="eastAsia" w:ascii="宋体" w:hAnsi="宋体" w:eastAsia="宋体"/>
          <w:color w:val="auto"/>
          <w:sz w:val="24"/>
          <w:szCs w:val="24"/>
          <w:highlight w:val="none"/>
        </w:rPr>
        <w:t>）供货中逾期超过</w:t>
      </w:r>
      <w:sdt>
        <w:sdtPr>
          <w:rPr>
            <w:rFonts w:hint="eastAsia" w:ascii="宋体" w:hAnsi="宋体" w:eastAsia="宋体" w:cstheme="minorBidi"/>
            <w:color w:val="auto"/>
            <w:kern w:val="2"/>
            <w:sz w:val="24"/>
            <w:szCs w:val="24"/>
            <w:highlight w:val="none"/>
            <w:lang w:val="en-US" w:eastAsia="zh-CN" w:bidi="ar-SA"/>
          </w:rPr>
          <w:id w:val="147467745"/>
          <w:placeholder>
            <w:docPart w:val="{7ed96c5c-5699-4c2c-98f5-2eaabde65a4e}"/>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5</w:t>
          </w:r>
        </w:sdtContent>
      </w:sdt>
      <w:r>
        <w:rPr>
          <w:rFonts w:hint="eastAsia" w:ascii="宋体" w:hAnsi="宋体" w:eastAsia="宋体"/>
          <w:color w:val="auto"/>
          <w:sz w:val="24"/>
          <w:szCs w:val="24"/>
          <w:highlight w:val="none"/>
        </w:rPr>
        <w:t>个日历日交货或者安装不及时率（即：（逾期超过</w:t>
      </w:r>
      <w:sdt>
        <w:sdtPr>
          <w:rPr>
            <w:rFonts w:hint="eastAsia" w:ascii="宋体" w:hAnsi="宋体" w:eastAsia="宋体" w:cstheme="minorBidi"/>
            <w:color w:val="auto"/>
            <w:kern w:val="2"/>
            <w:sz w:val="24"/>
            <w:szCs w:val="24"/>
            <w:highlight w:val="none"/>
            <w:lang w:val="en-US" w:eastAsia="zh-CN" w:bidi="ar-SA"/>
          </w:rPr>
          <w:id w:val="147467722"/>
          <w:placeholder>
            <w:docPart w:val="{8f69551f-a72f-43d3-ba5f-a2060cf739bd}"/>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w:t>
          </w:r>
        </w:sdtContent>
      </w:sdt>
      <w:r>
        <w:rPr>
          <w:rFonts w:hint="eastAsia" w:ascii="宋体" w:hAnsi="宋体" w:eastAsia="宋体"/>
          <w:color w:val="auto"/>
          <w:sz w:val="24"/>
          <w:szCs w:val="24"/>
          <w:highlight w:val="none"/>
        </w:rPr>
        <w:t>日的货物数量+逾期安装的货物数量）/该批次货物总数量）超过</w:t>
      </w:r>
      <w:sdt>
        <w:sdtPr>
          <w:rPr>
            <w:rFonts w:hint="eastAsia" w:ascii="宋体" w:hAnsi="宋体" w:eastAsia="宋体" w:cstheme="minorBidi"/>
            <w:color w:val="auto"/>
            <w:kern w:val="2"/>
            <w:sz w:val="24"/>
            <w:szCs w:val="24"/>
            <w:highlight w:val="none"/>
            <w:lang w:val="en-US" w:eastAsia="zh-CN" w:bidi="ar-SA"/>
          </w:rPr>
          <w:id w:val="147467709"/>
          <w:placeholder>
            <w:docPart w:val="{68bedd67-6855-4b91-a11b-a02ba681d23b}"/>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7%</w:t>
          </w:r>
        </w:sdtContent>
      </w:sdt>
      <w:r>
        <w:rPr>
          <w:rFonts w:hint="eastAsia" w:ascii="宋体" w:hAnsi="宋体" w:eastAsia="宋体"/>
          <w:color w:val="auto"/>
          <w:sz w:val="24"/>
          <w:szCs w:val="24"/>
          <w:highlight w:val="none"/>
        </w:rPr>
        <w:t>的，买方有权单方面解除合同</w:t>
      </w:r>
      <w:bookmarkStart w:id="10" w:name="_Hlk107908538"/>
      <w:sdt>
        <w:sdtPr>
          <w:rPr>
            <w:rFonts w:hint="eastAsia" w:ascii="宋体" w:hAnsi="宋体" w:eastAsia="宋体" w:cstheme="minorBidi"/>
            <w:color w:val="auto"/>
            <w:kern w:val="2"/>
            <w:sz w:val="24"/>
            <w:szCs w:val="24"/>
            <w:highlight w:val="none"/>
            <w:lang w:val="en-US" w:eastAsia="zh-CN" w:bidi="ar-SA"/>
          </w:rPr>
          <w:id w:val="147467265"/>
          <w:placeholder>
            <w:docPart w:val="{0cfb7b4b-60f9-44b1-8d21-f3e57d7a79da}"/>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并没收履约保证金</w:t>
          </w:r>
          <w:bookmarkEnd w:id="10"/>
          <w:r>
            <w:rPr>
              <w:rFonts w:hint="eastAsia" w:ascii="宋体" w:hAnsi="宋体" w:eastAsia="宋体"/>
              <w:color w:val="auto"/>
              <w:sz w:val="24"/>
              <w:szCs w:val="24"/>
              <w:highlight w:val="none"/>
            </w:rPr>
            <w:t>，</w:t>
          </w:r>
        </w:sdtContent>
      </w:sdt>
      <w:sdt>
        <w:sdtPr>
          <w:rPr>
            <w:rFonts w:hint="eastAsia" w:ascii="宋体" w:hAnsi="宋体" w:eastAsia="宋体" w:cstheme="minorBidi"/>
            <w:color w:val="auto"/>
            <w:kern w:val="2"/>
            <w:sz w:val="24"/>
            <w:szCs w:val="24"/>
            <w:highlight w:val="none"/>
            <w:lang w:val="en-US" w:eastAsia="zh-CN" w:bidi="ar-SA"/>
          </w:rPr>
          <w:id w:val="147467252"/>
          <w:placeholder>
            <w:docPart w:val="{4dad762f-b183-4c33-b62c-6940e4619ca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卖方除应退还买方已支付的该批次货款外，还应另行支付相当于4.1条约定的履约保证金总金额的违约金，且买方有权</w:t>
          </w:r>
          <w:r>
            <w:rPr>
              <w:rFonts w:ascii="宋体" w:hAnsi="宋体" w:eastAsia="宋体"/>
              <w:color w:val="auto"/>
              <w:sz w:val="24"/>
              <w:szCs w:val="24"/>
              <w:highlight w:val="none"/>
            </w:rPr>
            <w:t>在三年内拒绝</w:t>
          </w:r>
          <w:r>
            <w:rPr>
              <w:rFonts w:hint="eastAsia" w:ascii="宋体" w:hAnsi="宋体" w:eastAsia="宋体"/>
              <w:color w:val="auto"/>
              <w:sz w:val="24"/>
              <w:szCs w:val="24"/>
              <w:highlight w:val="none"/>
            </w:rPr>
            <w:t>卖方</w:t>
          </w:r>
          <w:r>
            <w:rPr>
              <w:rFonts w:ascii="宋体" w:hAnsi="宋体" w:eastAsia="宋体"/>
              <w:color w:val="auto"/>
              <w:sz w:val="24"/>
              <w:szCs w:val="24"/>
              <w:highlight w:val="none"/>
            </w:rPr>
            <w:t>参与大宗政府招标采购项目</w:t>
          </w:r>
          <w:r>
            <w:rPr>
              <w:rFonts w:hint="eastAsia" w:ascii="宋体" w:hAnsi="宋体" w:eastAsia="宋体"/>
              <w:color w:val="auto"/>
              <w:sz w:val="24"/>
              <w:szCs w:val="24"/>
              <w:highlight w:val="none"/>
            </w:rPr>
            <w:t>的投标报价</w:t>
          </w:r>
        </w:sdtContent>
      </w:sdt>
      <w:r>
        <w:rPr>
          <w:rFonts w:hint="eastAsia" w:ascii="宋体" w:hAnsi="宋体" w:eastAsia="宋体"/>
          <w:color w:val="auto"/>
          <w:sz w:val="24"/>
          <w:szCs w:val="24"/>
          <w:highlight w:val="none"/>
        </w:rPr>
        <w:t>。</w:t>
      </w:r>
    </w:p>
    <w:p w14:paraId="07471A82">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.2任一批次的产品若验收不合格（包括初验和最终验收），买方有权换货或单方解除合同。</w:t>
      </w:r>
      <w:sdt>
        <w:sdtPr>
          <w:rPr>
            <w:rFonts w:hint="eastAsia" w:ascii="宋体" w:hAnsi="宋体" w:eastAsia="宋体" w:cstheme="minorBidi"/>
            <w:color w:val="auto"/>
            <w:kern w:val="2"/>
            <w:sz w:val="24"/>
            <w:szCs w:val="24"/>
            <w:highlight w:val="none"/>
            <w:lang w:val="en-US" w:eastAsia="zh-CN" w:bidi="ar-SA"/>
          </w:rPr>
          <w:id w:val="147466925"/>
          <w:placeholder>
            <w:docPart w:val="{4a080719-a8af-4816-8ffe-63756bf7ca9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若买方选择换货的，卖方重新供货导致的供货延迟，按</w:t>
          </w:r>
          <w:r>
            <w:rPr>
              <w:rFonts w:ascii="宋体" w:hAnsi="宋体" w:eastAsia="宋体"/>
              <w:color w:val="auto"/>
              <w:sz w:val="24"/>
              <w:szCs w:val="24"/>
              <w:highlight w:val="none"/>
            </w:rPr>
            <w:t>10</w:t>
          </w:r>
          <w:r>
            <w:rPr>
              <w:rFonts w:hint="eastAsia" w:ascii="宋体" w:hAnsi="宋体" w:eastAsia="宋体"/>
              <w:color w:val="auto"/>
              <w:sz w:val="24"/>
              <w:szCs w:val="24"/>
              <w:highlight w:val="none"/>
            </w:rPr>
            <w:t>.1条违约责任处理；若买方选择单方解除合同的，</w:t>
          </w:r>
          <w:bookmarkStart w:id="11" w:name="_Hlk107909671"/>
          <w:r>
            <w:rPr>
              <w:rFonts w:hint="eastAsia" w:ascii="宋体" w:hAnsi="宋体" w:eastAsia="宋体"/>
              <w:color w:val="auto"/>
              <w:sz w:val="24"/>
              <w:szCs w:val="24"/>
              <w:highlight w:val="none"/>
            </w:rPr>
            <w:t>买方有权没收履约保证金，</w:t>
          </w:r>
          <w:bookmarkEnd w:id="11"/>
          <w:r>
            <w:rPr>
              <w:rFonts w:hint="eastAsia" w:ascii="宋体" w:hAnsi="宋体" w:eastAsia="宋体"/>
              <w:color w:val="auto"/>
              <w:sz w:val="24"/>
              <w:szCs w:val="24"/>
              <w:highlight w:val="none"/>
            </w:rPr>
            <w:t>卖方除应退还买方已支付该批次货款外，还应另行支付相当于4.1条约定的履约保证金总金额的违约金，且买方有权</w:t>
          </w:r>
          <w:r>
            <w:rPr>
              <w:rFonts w:ascii="宋体" w:hAnsi="宋体" w:eastAsia="宋体"/>
              <w:color w:val="auto"/>
              <w:sz w:val="24"/>
              <w:szCs w:val="24"/>
              <w:highlight w:val="none"/>
            </w:rPr>
            <w:t>在三年内拒绝</w:t>
          </w:r>
          <w:r>
            <w:rPr>
              <w:rFonts w:hint="eastAsia" w:ascii="宋体" w:hAnsi="宋体" w:eastAsia="宋体"/>
              <w:color w:val="auto"/>
              <w:sz w:val="24"/>
              <w:szCs w:val="24"/>
              <w:highlight w:val="none"/>
            </w:rPr>
            <w:t>卖方</w:t>
          </w:r>
          <w:r>
            <w:rPr>
              <w:rFonts w:ascii="宋体" w:hAnsi="宋体" w:eastAsia="宋体"/>
              <w:color w:val="auto"/>
              <w:sz w:val="24"/>
              <w:szCs w:val="24"/>
              <w:highlight w:val="none"/>
            </w:rPr>
            <w:t>参与大宗政府招标采购项目</w:t>
          </w:r>
          <w:r>
            <w:rPr>
              <w:rFonts w:hint="eastAsia" w:ascii="宋体" w:hAnsi="宋体" w:eastAsia="宋体"/>
              <w:color w:val="auto"/>
              <w:sz w:val="24"/>
              <w:szCs w:val="24"/>
              <w:highlight w:val="none"/>
            </w:rPr>
            <w:t>的投标报价。</w:t>
          </w:r>
        </w:sdtContent>
      </w:sdt>
    </w:p>
    <w:p w14:paraId="4BD99F18">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.3卖方保证所供成交产品质量与投标时的承诺一致，若有拆装、以次充好、偷换等行为,一经发现，</w:t>
      </w:r>
      <w:sdt>
        <w:sdtPr>
          <w:rPr>
            <w:rFonts w:hint="eastAsia" w:ascii="宋体" w:hAnsi="宋体" w:eastAsia="宋体" w:cstheme="minorBidi"/>
            <w:color w:val="auto"/>
            <w:kern w:val="2"/>
            <w:sz w:val="24"/>
            <w:szCs w:val="24"/>
            <w:highlight w:val="none"/>
            <w:lang w:val="en-US" w:eastAsia="zh-CN" w:bidi="ar-SA"/>
          </w:rPr>
          <w:id w:val="147466661"/>
          <w:placeholder>
            <w:docPart w:val="{51b97d1d-20e4-4a3b-bdc1-63b18663c932}"/>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买方将拒绝卖方作为厦门市政府采购供应商，拒绝其三年内参加相同项目的投标报价并有权单方解除合同</w:t>
          </w:r>
          <w:bookmarkStart w:id="12" w:name="_Hlk107909688"/>
          <w:r>
            <w:rPr>
              <w:rFonts w:hint="eastAsia" w:ascii="宋体" w:hAnsi="宋体" w:eastAsia="宋体"/>
              <w:color w:val="auto"/>
              <w:sz w:val="24"/>
              <w:szCs w:val="24"/>
              <w:highlight w:val="none"/>
            </w:rPr>
            <w:t>并没收履约保证金</w:t>
          </w:r>
          <w:bookmarkEnd w:id="12"/>
          <w:r>
            <w:rPr>
              <w:rFonts w:hint="eastAsia" w:ascii="宋体" w:hAnsi="宋体" w:eastAsia="宋体"/>
              <w:color w:val="auto"/>
              <w:sz w:val="24"/>
              <w:szCs w:val="24"/>
              <w:highlight w:val="none"/>
            </w:rPr>
            <w:t>，卖方除应退还买方已支付该批次货款外，还应另行支付相当于4.1条约定的履约保证金总金额的违约金。</w:t>
          </w:r>
        </w:sdtContent>
      </w:sdt>
    </w:p>
    <w:p w14:paraId="710B8082">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.4买方根据本合同约定提出换货、退货或解除合同的，卖方应在收到买方或最终用户通知后</w:t>
      </w:r>
      <w:sdt>
        <w:sdtPr>
          <w:rPr>
            <w:rFonts w:hint="eastAsia" w:ascii="宋体" w:hAnsi="宋体" w:eastAsia="宋体" w:cstheme="minorBidi"/>
            <w:color w:val="auto"/>
            <w:kern w:val="2"/>
            <w:sz w:val="24"/>
            <w:szCs w:val="24"/>
            <w:highlight w:val="none"/>
            <w:lang w:val="en-US" w:eastAsia="zh-CN" w:bidi="ar-SA"/>
          </w:rPr>
          <w:id w:val="147466569"/>
          <w:placeholder>
            <w:docPart w:val="{29d463a8-dc64-49a2-9bdd-a96cef5c4ea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w:t>
          </w:r>
        </w:sdtContent>
      </w:sdt>
      <w:r>
        <w:rPr>
          <w:rFonts w:hint="eastAsia" w:ascii="宋体" w:hAnsi="宋体" w:eastAsia="宋体"/>
          <w:color w:val="auto"/>
          <w:sz w:val="24"/>
          <w:szCs w:val="24"/>
          <w:highlight w:val="none"/>
        </w:rPr>
        <w:t>个工作日内自行收回不符合合同约定的货物，并承担相应费用。因卖方原因导致退换货的，卖方应承担退换货所需的一切费用。如卖方未在规定时间内收回不合格货物，买方不对上述货物的灭失或损坏承担任何责任。如卖方逾期超过</w:t>
      </w:r>
      <w:sdt>
        <w:sdtPr>
          <w:rPr>
            <w:rFonts w:hint="eastAsia" w:ascii="宋体" w:hAnsi="宋体" w:eastAsia="宋体" w:cstheme="minorBidi"/>
            <w:color w:val="auto"/>
            <w:kern w:val="2"/>
            <w:sz w:val="24"/>
            <w:szCs w:val="24"/>
            <w:highlight w:val="none"/>
            <w:lang w:val="en-US" w:eastAsia="zh-CN" w:bidi="ar-SA"/>
          </w:rPr>
          <w:id w:val="147466393"/>
          <w:placeholder>
            <w:docPart w:val="{9aff8498-01fe-475f-9362-2b83329f4df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w:t>
          </w:r>
        </w:sdtContent>
      </w:sdt>
      <w:r>
        <w:rPr>
          <w:rFonts w:hint="eastAsia" w:ascii="宋体" w:hAnsi="宋体" w:eastAsia="宋体"/>
          <w:color w:val="auto"/>
          <w:sz w:val="24"/>
          <w:szCs w:val="24"/>
          <w:highlight w:val="none"/>
        </w:rPr>
        <w:t>个日历日仍未收回的，买方有权自行处理上述货物</w:t>
      </w:r>
      <w:sdt>
        <w:sdtPr>
          <w:rPr>
            <w:rFonts w:hint="eastAsia" w:ascii="宋体" w:hAnsi="宋体" w:eastAsia="宋体" w:cstheme="minorBidi"/>
            <w:color w:val="auto"/>
            <w:kern w:val="2"/>
            <w:sz w:val="24"/>
            <w:szCs w:val="24"/>
            <w:highlight w:val="none"/>
            <w:lang w:val="en-US" w:eastAsia="zh-CN" w:bidi="ar-SA"/>
          </w:rPr>
          <w:id w:val="147466351"/>
          <w:placeholder>
            <w:docPart w:val="{9771d4ac-1c4d-4f61-b2ff-ab40bc22f344}"/>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，同时卖方应支付相当于4.1条约定的履约保证金总金额的违约金，且买方有权</w:t>
          </w:r>
          <w:r>
            <w:rPr>
              <w:rFonts w:ascii="宋体" w:hAnsi="宋体" w:eastAsia="宋体"/>
              <w:color w:val="auto"/>
              <w:sz w:val="24"/>
              <w:szCs w:val="24"/>
              <w:highlight w:val="none"/>
            </w:rPr>
            <w:t>在三年内拒绝卖方参与大宗政府招标采购项目</w:t>
          </w:r>
          <w:r>
            <w:rPr>
              <w:rFonts w:hint="eastAsia" w:ascii="宋体" w:hAnsi="宋体" w:eastAsia="宋体"/>
              <w:color w:val="auto"/>
              <w:sz w:val="24"/>
              <w:szCs w:val="24"/>
              <w:highlight w:val="none"/>
            </w:rPr>
            <w:t>的投标报价</w:t>
          </w:r>
        </w:sdtContent>
      </w:sdt>
      <w:r>
        <w:rPr>
          <w:rFonts w:hint="eastAsia" w:ascii="宋体" w:hAnsi="宋体" w:eastAsia="宋体"/>
          <w:color w:val="auto"/>
          <w:sz w:val="24"/>
          <w:szCs w:val="24"/>
          <w:highlight w:val="none"/>
        </w:rPr>
        <w:t>。</w:t>
      </w:r>
    </w:p>
    <w:sdt>
      <w:sdtPr>
        <w:rPr>
          <w:rFonts w:ascii="宋体" w:hAnsi="宋体" w:eastAsia="宋体" w:cstheme="minorBidi"/>
          <w:color w:val="auto"/>
          <w:kern w:val="2"/>
          <w:sz w:val="24"/>
          <w:szCs w:val="24"/>
          <w:highlight w:val="none"/>
          <w:lang w:val="en-US" w:eastAsia="zh-CN" w:bidi="ar-SA"/>
        </w:rPr>
        <w:id w:val="147465955"/>
        <w:placeholder>
          <w:docPart w:val="{7ddddc9f-0fb7-4b0c-9397-74d5022236df}"/>
        </w:placeholder>
      </w:sdtPr>
      <w:sdtEndPr>
        <w:rPr>
          <w:rFonts w:hint="eastAsia" w:ascii="宋体" w:hAnsi="宋体" w:eastAsia="宋体" w:cstheme="minorBidi"/>
          <w:color w:val="auto"/>
          <w:kern w:val="2"/>
          <w:sz w:val="24"/>
          <w:szCs w:val="24"/>
          <w:highlight w:val="none"/>
          <w:lang w:val="en-US" w:eastAsia="zh-CN" w:bidi="ar-SA"/>
        </w:rPr>
      </w:sdtEndPr>
      <w:sdtContent>
        <w:p w14:paraId="3DD03A41">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5买方应按商定的付款周期及时支付卖方货款。若故意拖延支付货款，买方向卖方每日支付延迟付款部分0.1%的违约金，支付金额最高不超过受影响货物总额的5%。若协商不成，可根据规定向厦门市财政局政府采购监管处投诉并要求解决。</w:t>
          </w:r>
        </w:p>
      </w:sdtContent>
    </w:sdt>
    <w:p w14:paraId="22DA6D20">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60"/>
          <w:placeholder>
            <w:docPart w:val="{19168d20-7b8d-4368-a4ed-67bb5d8380ae}"/>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.6</w:t>
          </w:r>
        </w:sdtContent>
      </w:sdt>
      <w:r>
        <w:rPr>
          <w:rFonts w:hint="eastAsia" w:ascii="宋体" w:hAnsi="宋体" w:eastAsia="宋体"/>
          <w:color w:val="auto"/>
          <w:sz w:val="24"/>
          <w:szCs w:val="24"/>
          <w:highlight w:val="none"/>
        </w:rPr>
        <w:t>除本合同另有约定</w:t>
      </w:r>
      <w:sdt>
        <w:sdtPr>
          <w:rPr>
            <w:rFonts w:hint="eastAsia" w:ascii="宋体" w:hAnsi="宋体" w:eastAsia="宋体" w:cstheme="minorBidi"/>
            <w:color w:val="auto"/>
            <w:kern w:val="2"/>
            <w:sz w:val="24"/>
            <w:szCs w:val="24"/>
            <w:highlight w:val="none"/>
            <w:lang w:val="en-US" w:eastAsia="zh-CN" w:bidi="ar-SA"/>
          </w:rPr>
          <w:id w:val="147465273"/>
          <w:placeholder>
            <w:docPart w:val="{4b5f3f4c-a44b-4f37-bf1f-32e6f4c4e40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w:t>
          </w:r>
          <w:r>
            <w:rPr>
              <w:rFonts w:ascii="宋体" w:hAnsi="宋体" w:eastAsia="宋体"/>
              <w:color w:val="auto"/>
              <w:sz w:val="24"/>
              <w:szCs w:val="24"/>
              <w:highlight w:val="none"/>
            </w:rPr>
            <w:t>10</w:t>
          </w:r>
          <w:r>
            <w:rPr>
              <w:rFonts w:hint="eastAsia" w:ascii="宋体" w:hAnsi="宋体" w:eastAsia="宋体"/>
              <w:color w:val="auto"/>
              <w:sz w:val="24"/>
              <w:szCs w:val="24"/>
              <w:highlight w:val="none"/>
            </w:rPr>
            <w:t>.1、</w:t>
          </w:r>
          <w:r>
            <w:rPr>
              <w:rFonts w:ascii="宋体" w:hAnsi="宋体" w:eastAsia="宋体"/>
              <w:color w:val="auto"/>
              <w:sz w:val="24"/>
              <w:szCs w:val="24"/>
              <w:highlight w:val="none"/>
            </w:rPr>
            <w:t>10</w:t>
          </w:r>
          <w:r>
            <w:rPr>
              <w:rFonts w:hint="eastAsia" w:ascii="宋体" w:hAnsi="宋体" w:eastAsia="宋体"/>
              <w:color w:val="auto"/>
              <w:sz w:val="24"/>
              <w:szCs w:val="24"/>
              <w:highlight w:val="none"/>
            </w:rPr>
            <w:t>.2、</w:t>
          </w:r>
          <w:r>
            <w:rPr>
              <w:rFonts w:ascii="宋体" w:hAnsi="宋体" w:eastAsia="宋体"/>
              <w:color w:val="auto"/>
              <w:sz w:val="24"/>
              <w:szCs w:val="24"/>
              <w:highlight w:val="none"/>
            </w:rPr>
            <w:t>10</w:t>
          </w:r>
          <w:r>
            <w:rPr>
              <w:rFonts w:hint="eastAsia" w:ascii="宋体" w:hAnsi="宋体" w:eastAsia="宋体"/>
              <w:color w:val="auto"/>
              <w:sz w:val="24"/>
              <w:szCs w:val="24"/>
              <w:highlight w:val="none"/>
            </w:rPr>
            <w:t>.3、</w:t>
          </w:r>
          <w:r>
            <w:rPr>
              <w:rFonts w:ascii="宋体" w:hAnsi="宋体" w:eastAsia="宋体"/>
              <w:color w:val="auto"/>
              <w:sz w:val="24"/>
              <w:szCs w:val="24"/>
              <w:highlight w:val="none"/>
            </w:rPr>
            <w:t>10</w:t>
          </w:r>
          <w:r>
            <w:rPr>
              <w:rFonts w:hint="eastAsia" w:ascii="宋体" w:hAnsi="宋体" w:eastAsia="宋体"/>
              <w:color w:val="auto"/>
              <w:sz w:val="24"/>
              <w:szCs w:val="24"/>
              <w:highlight w:val="none"/>
            </w:rPr>
            <w:t>.4、</w:t>
          </w:r>
          <w:r>
            <w:rPr>
              <w:rFonts w:ascii="宋体" w:hAnsi="宋体" w:eastAsia="宋体"/>
              <w:color w:val="auto"/>
              <w:sz w:val="24"/>
              <w:szCs w:val="24"/>
              <w:highlight w:val="none"/>
            </w:rPr>
            <w:t>10</w:t>
          </w:r>
          <w:r>
            <w:rPr>
              <w:rFonts w:hint="eastAsia" w:ascii="宋体" w:hAnsi="宋体" w:eastAsia="宋体"/>
              <w:color w:val="auto"/>
              <w:sz w:val="24"/>
              <w:szCs w:val="24"/>
              <w:highlight w:val="none"/>
            </w:rPr>
            <w:t>.8）</w:t>
          </w:r>
        </w:sdtContent>
      </w:sdt>
      <w:r>
        <w:rPr>
          <w:rFonts w:hint="eastAsia" w:ascii="宋体" w:hAnsi="宋体" w:eastAsia="宋体"/>
          <w:color w:val="auto"/>
          <w:sz w:val="24"/>
          <w:szCs w:val="24"/>
          <w:highlight w:val="none"/>
        </w:rPr>
        <w:t>，在买方发出的违约通知后</w:t>
      </w:r>
      <w:sdt>
        <w:sdtPr>
          <w:rPr>
            <w:rFonts w:hint="eastAsia" w:ascii="宋体" w:hAnsi="宋体" w:eastAsia="宋体" w:cstheme="minorBidi"/>
            <w:color w:val="auto"/>
            <w:kern w:val="2"/>
            <w:sz w:val="24"/>
            <w:szCs w:val="24"/>
            <w:highlight w:val="none"/>
            <w:lang w:val="en-US" w:eastAsia="zh-CN" w:bidi="ar-SA"/>
          </w:rPr>
          <w:id w:val="147465178"/>
          <w:placeholder>
            <w:docPart w:val="{38fc7176-d7c8-4b12-a551-9300c708865f}"/>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30</w:t>
          </w:r>
        </w:sdtContent>
      </w:sdt>
      <w:r>
        <w:rPr>
          <w:rFonts w:hint="eastAsia" w:ascii="宋体" w:hAnsi="宋体" w:eastAsia="宋体"/>
          <w:color w:val="auto"/>
          <w:sz w:val="24"/>
          <w:szCs w:val="24"/>
          <w:highlight w:val="none"/>
        </w:rPr>
        <w:t>天内卖方仍未纠正其任何一种违约行为的，买方有权单方解除合同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p>
    <w:p w14:paraId="48B43E8E">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50"/>
          <w:placeholder>
            <w:docPart w:val="{5213ceef-41de-48e5-89e6-98842eb0bffd}"/>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.7</w:t>
          </w:r>
        </w:sdtContent>
      </w:sdt>
      <w:r>
        <w:rPr>
          <w:rFonts w:hint="eastAsia" w:ascii="宋体" w:hAnsi="宋体" w:eastAsia="宋体"/>
          <w:color w:val="auto"/>
          <w:sz w:val="24"/>
          <w:szCs w:val="24"/>
          <w:highlight w:val="none"/>
        </w:rPr>
        <w:t>买方有权扣划卖方缴交的履约保证金作为违约金，履约保证金不足以抵扣违约金的，买方有权从应付货款中扣除相应费用。</w:t>
      </w:r>
      <w:sdt>
        <w:sdtPr>
          <w:rPr>
            <w:rFonts w:hint="eastAsia" w:ascii="宋体" w:hAnsi="宋体" w:eastAsia="宋体" w:cstheme="minorBidi"/>
            <w:color w:val="auto"/>
            <w:kern w:val="2"/>
            <w:sz w:val="24"/>
            <w:szCs w:val="24"/>
            <w:highlight w:val="none"/>
            <w:lang w:val="en-US" w:eastAsia="zh-CN" w:bidi="ar-SA"/>
          </w:rPr>
          <w:id w:val="147464055"/>
          <w:placeholder>
            <w:docPart w:val="{ada1974a-9981-4b43-8497-33b30f0cf11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买方应在扣划履约保证金前书面通知卖方违约事由，如卖方在书面通知所列明的合理期限（不超过</w:t>
          </w:r>
          <w:r>
            <w:rPr>
              <w:rFonts w:ascii="宋体" w:hAnsi="宋体" w:eastAsia="宋体"/>
              <w:color w:val="auto"/>
              <w:sz w:val="24"/>
              <w:szCs w:val="24"/>
              <w:highlight w:val="none"/>
            </w:rPr>
            <w:t>10</w:t>
          </w:r>
          <w:r>
            <w:rPr>
              <w:rFonts w:hint="eastAsia" w:ascii="宋体" w:hAnsi="宋体" w:eastAsia="宋体"/>
              <w:color w:val="auto"/>
              <w:sz w:val="24"/>
              <w:szCs w:val="24"/>
              <w:highlight w:val="none"/>
            </w:rPr>
            <w:t>天）内未予纠正，则履约保证金扣划才可实施</w:t>
          </w:r>
          <w:bookmarkStart w:id="13" w:name="_Hlk107908883"/>
          <w:r>
            <w:rPr>
              <w:rFonts w:hint="eastAsia" w:ascii="宋体" w:hAnsi="宋体" w:eastAsia="宋体"/>
              <w:color w:val="auto"/>
              <w:sz w:val="24"/>
              <w:szCs w:val="24"/>
              <w:highlight w:val="none"/>
            </w:rPr>
            <w:t>（因卖方违约买方单方解除合同而没收履约保证金的不受此限制）</w:t>
          </w:r>
          <w:bookmarkEnd w:id="13"/>
          <w:r>
            <w:rPr>
              <w:rFonts w:hint="eastAsia" w:ascii="宋体" w:hAnsi="宋体" w:eastAsia="宋体"/>
              <w:color w:val="auto"/>
              <w:sz w:val="24"/>
              <w:szCs w:val="24"/>
              <w:highlight w:val="none"/>
            </w:rPr>
            <w:t>。</w:t>
          </w:r>
        </w:sdtContent>
      </w:sdt>
    </w:p>
    <w:p w14:paraId="668E871E">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31"/>
          <w:placeholder>
            <w:docPart w:val="{c4cb4bf4-60b1-49e4-95d3-e92893880b0b}"/>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10.8</w:t>
          </w:r>
        </w:sdtContent>
      </w:sdt>
      <w:r>
        <w:rPr>
          <w:rFonts w:hint="eastAsia" w:ascii="宋体" w:hAnsi="宋体" w:eastAsia="宋体"/>
          <w:color w:val="auto"/>
          <w:sz w:val="24"/>
          <w:szCs w:val="24"/>
          <w:highlight w:val="none"/>
        </w:rPr>
        <w:t>卖方存在以下情形的，</w:t>
      </w:r>
      <w:r>
        <w:rPr>
          <w:rFonts w:ascii="宋体" w:hAnsi="宋体" w:eastAsia="宋体"/>
          <w:color w:val="auto"/>
          <w:sz w:val="24"/>
          <w:szCs w:val="24"/>
          <w:highlight w:val="none"/>
        </w:rPr>
        <w:t>买方有权</w:t>
      </w:r>
      <w:r>
        <w:rPr>
          <w:rFonts w:hint="eastAsia" w:ascii="宋体" w:hAnsi="宋体" w:eastAsia="宋体"/>
          <w:color w:val="auto"/>
          <w:sz w:val="24"/>
          <w:szCs w:val="24"/>
          <w:highlight w:val="none"/>
        </w:rPr>
        <w:t>立即单方通知卖方解除合同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r>
        <w:rPr>
          <w:rFonts w:ascii="宋体" w:hAnsi="宋体" w:eastAsia="宋体"/>
          <w:color w:val="auto"/>
          <w:sz w:val="24"/>
          <w:szCs w:val="24"/>
          <w:highlight w:val="none"/>
        </w:rPr>
        <w:t>并在三年内拒绝卖方参与大宗政府招标采购项目</w:t>
      </w:r>
      <w:r>
        <w:rPr>
          <w:rFonts w:hint="eastAsia" w:ascii="宋体" w:hAnsi="宋体" w:eastAsia="宋体"/>
          <w:color w:val="auto"/>
          <w:sz w:val="24"/>
          <w:szCs w:val="24"/>
          <w:highlight w:val="none"/>
        </w:rPr>
        <w:t>的投标报价：</w:t>
      </w:r>
    </w:p>
    <w:p w14:paraId="64CFA6F7">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①违反法律法规、行业规范要求被有关部门查处的；</w:t>
      </w:r>
    </w:p>
    <w:p w14:paraId="38CA982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②提供假冒伪劣产品的；</w:t>
      </w:r>
    </w:p>
    <w:p w14:paraId="6ED64A5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③通过给回扣或变相给回扣的方式招揽业务的；</w:t>
      </w:r>
    </w:p>
    <w:p w14:paraId="69E955D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④因产品质量或服务问题被有效投诉达</w:t>
      </w:r>
      <w:sdt>
        <w:sdtPr>
          <w:rPr>
            <w:rFonts w:hint="eastAsia" w:ascii="宋体" w:hAnsi="宋体" w:eastAsia="宋体" w:cstheme="minorBidi"/>
            <w:color w:val="auto"/>
            <w:kern w:val="2"/>
            <w:sz w:val="24"/>
            <w:szCs w:val="24"/>
            <w:highlight w:val="none"/>
            <w:lang w:val="en-US" w:eastAsia="zh-CN" w:bidi="ar-SA"/>
          </w:rPr>
          <w:id w:val="147463666"/>
          <w:placeholder>
            <w:docPart w:val="{e3bf6252-5a86-4d55-9b54-4fecf597164f}"/>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三</w:t>
          </w:r>
        </w:sdtContent>
      </w:sdt>
      <w:r>
        <w:rPr>
          <w:rFonts w:hint="eastAsia" w:ascii="宋体" w:hAnsi="宋体" w:eastAsia="宋体"/>
          <w:color w:val="auto"/>
          <w:sz w:val="24"/>
          <w:szCs w:val="24"/>
          <w:highlight w:val="none"/>
        </w:rPr>
        <w:t>次以上的；</w:t>
      </w:r>
    </w:p>
    <w:p w14:paraId="6176E64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⑤向有关部门、买方、最终使用方提供虚假信息或资料等情况的；</w:t>
      </w:r>
    </w:p>
    <w:p w14:paraId="50A1B6A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⑥出现重大客户投诉事件（如政府采购管理部门督办事件、新闻媒体公开报道、采购业主书面发函投诉以及其他对买方产生严重负面影响的事件）；</w:t>
      </w:r>
    </w:p>
    <w:p w14:paraId="2E3C9B7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⑦报修率超过</w:t>
      </w:r>
      <w:sdt>
        <w:sdtPr>
          <w:rPr>
            <w:rFonts w:hint="eastAsia" w:ascii="宋体" w:hAnsi="宋体" w:eastAsia="宋体" w:cstheme="minorBidi"/>
            <w:color w:val="auto"/>
            <w:kern w:val="2"/>
            <w:sz w:val="24"/>
            <w:szCs w:val="24"/>
            <w:highlight w:val="none"/>
            <w:lang w:val="en-US" w:eastAsia="zh-CN" w:bidi="ar-SA"/>
          </w:rPr>
          <w:id w:val="147463771"/>
          <w:placeholder>
            <w:docPart w:val="{c0c4f0e2-9108-4cf9-bcb4-54cec5d2d913}"/>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3%</w:t>
          </w:r>
        </w:sdtContent>
      </w:sdt>
      <w:r>
        <w:rPr>
          <w:rFonts w:ascii="宋体" w:hAnsi="宋体" w:eastAsia="宋体"/>
          <w:color w:val="auto"/>
          <w:sz w:val="24"/>
          <w:szCs w:val="24"/>
          <w:highlight w:val="none"/>
        </w:rPr>
        <w:t>（按品类分别统计）。报修率=保修期内硬件故障报修有效台次/已销售台数*100%（已销售台数超过</w:t>
      </w:r>
      <w:sdt>
        <w:sdtPr>
          <w:rPr>
            <w:rFonts w:ascii="宋体" w:hAnsi="宋体" w:eastAsia="宋体" w:cstheme="minorBidi"/>
            <w:color w:val="auto"/>
            <w:kern w:val="2"/>
            <w:sz w:val="24"/>
            <w:szCs w:val="24"/>
            <w:highlight w:val="none"/>
            <w:lang w:val="en-US" w:eastAsia="zh-CN" w:bidi="ar-SA"/>
          </w:rPr>
          <w:id w:val="147463624"/>
          <w:placeholder>
            <w:docPart w:val="{302e009a-b848-48df-9fbd-288b9d744b86}"/>
          </w:placeholder>
        </w:sdtPr>
        <w:sdtEndPr>
          <w:rPr>
            <w:rFonts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50</w:t>
          </w:r>
          <w:r>
            <w:rPr>
              <w:rFonts w:ascii="宋体" w:hAnsi="宋体" w:eastAsia="宋体"/>
              <w:color w:val="auto"/>
              <w:sz w:val="24"/>
              <w:szCs w:val="24"/>
              <w:highlight w:val="none"/>
            </w:rPr>
            <w:t>台</w:t>
          </w:r>
        </w:sdtContent>
      </w:sdt>
      <w:r>
        <w:rPr>
          <w:rFonts w:ascii="宋体" w:hAnsi="宋体" w:eastAsia="宋体"/>
          <w:color w:val="auto"/>
          <w:sz w:val="24"/>
          <w:szCs w:val="24"/>
          <w:highlight w:val="none"/>
        </w:rPr>
        <w:t>之后开始计算报修率）。</w:t>
      </w:r>
    </w:p>
    <w:p w14:paraId="51A2A5C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⑧逾期供货时间超过</w:t>
      </w:r>
      <w:sdt>
        <w:sdtPr>
          <w:rPr>
            <w:rFonts w:hint="eastAsia" w:ascii="宋体" w:hAnsi="宋体" w:eastAsia="宋体" w:cstheme="minorBidi"/>
            <w:color w:val="auto"/>
            <w:kern w:val="2"/>
            <w:sz w:val="24"/>
            <w:szCs w:val="24"/>
            <w:highlight w:val="none"/>
            <w:lang w:val="en-US" w:eastAsia="zh-CN" w:bidi="ar-SA"/>
          </w:rPr>
          <w:id w:val="147463748"/>
          <w:placeholder>
            <w:docPart w:val="{7755b8de-e760-46e2-ba65-6b2fe5818576}"/>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30</w:t>
          </w:r>
        </w:sdtContent>
      </w:sdt>
      <w:r>
        <w:rPr>
          <w:rFonts w:ascii="宋体" w:hAnsi="宋体" w:eastAsia="宋体"/>
          <w:color w:val="auto"/>
          <w:sz w:val="24"/>
          <w:szCs w:val="24"/>
          <w:highlight w:val="none"/>
        </w:rPr>
        <w:t>天</w:t>
      </w:r>
      <w:r>
        <w:rPr>
          <w:rFonts w:hint="eastAsia" w:ascii="宋体" w:hAnsi="宋体" w:eastAsia="宋体"/>
          <w:color w:val="auto"/>
          <w:sz w:val="24"/>
          <w:szCs w:val="24"/>
          <w:highlight w:val="none"/>
        </w:rPr>
        <w:t>（包括产品送到买方仓库或最终用户指定地点的逾期和完成产品安装调试的逾期）</w:t>
      </w:r>
      <w:r>
        <w:rPr>
          <w:rFonts w:ascii="宋体" w:hAnsi="宋体" w:eastAsia="宋体"/>
          <w:color w:val="auto"/>
          <w:sz w:val="24"/>
          <w:szCs w:val="24"/>
          <w:highlight w:val="none"/>
        </w:rPr>
        <w:t>。</w:t>
      </w:r>
    </w:p>
    <w:p w14:paraId="6DB47DD8">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⑨产品入库检测、检验时发现大面积（同批次全部产品或不同批次同型号产品</w:t>
      </w:r>
      <w:sdt>
        <w:sdtPr>
          <w:rPr>
            <w:rFonts w:hint="eastAsia" w:ascii="宋体" w:hAnsi="宋体" w:eastAsia="宋体" w:cstheme="minorBidi"/>
            <w:color w:val="auto"/>
            <w:kern w:val="2"/>
            <w:sz w:val="24"/>
            <w:szCs w:val="24"/>
            <w:highlight w:val="none"/>
            <w:lang w:val="en-US" w:eastAsia="zh-CN" w:bidi="ar-SA"/>
          </w:rPr>
          <w:id w:val="147463585"/>
          <w:placeholder>
            <w:docPart w:val="{7cdcdded-c16c-4f8a-9ca7-667837f8119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u w:val="single"/>
            </w:rPr>
            <w:t>3</w:t>
          </w:r>
          <w:r>
            <w:rPr>
              <w:rFonts w:hint="eastAsia" w:ascii="宋体" w:hAnsi="宋体" w:eastAsia="宋体"/>
              <w:color w:val="auto"/>
              <w:sz w:val="24"/>
              <w:szCs w:val="24"/>
              <w:highlight w:val="none"/>
            </w:rPr>
            <w:t>%</w:t>
          </w:r>
        </w:sdtContent>
      </w:sdt>
      <w:r>
        <w:rPr>
          <w:rFonts w:hint="eastAsia" w:ascii="宋体" w:hAnsi="宋体" w:eastAsia="宋体"/>
          <w:color w:val="auto"/>
          <w:sz w:val="24"/>
          <w:szCs w:val="24"/>
          <w:highlight w:val="none"/>
        </w:rPr>
        <w:t>及以上）产品质量问题。</w:t>
      </w:r>
    </w:p>
    <w:p w14:paraId="02208335">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s="宋体"/>
          <w:color w:val="auto"/>
          <w:sz w:val="24"/>
          <w:szCs w:val="24"/>
          <w:highlight w:val="none"/>
        </w:rPr>
        <w:t>⑩</w:t>
      </w:r>
      <w:r>
        <w:rPr>
          <w:rFonts w:hint="eastAsia" w:ascii="宋体" w:hAnsi="宋体" w:eastAsia="宋体"/>
          <w:color w:val="auto"/>
          <w:sz w:val="24"/>
          <w:szCs w:val="24"/>
          <w:highlight w:val="none"/>
        </w:rPr>
        <w:t>提供虚假材料谋取中标、成交</w:t>
      </w:r>
      <w:r>
        <w:rPr>
          <w:rFonts w:hint="eastAsia" w:ascii="宋体" w:hAnsi="宋体" w:eastAsia="宋体"/>
          <w:color w:val="auto"/>
          <w:sz w:val="24"/>
          <w:szCs w:val="24"/>
          <w:highlight w:val="none"/>
          <w:lang w:eastAsia="zh-CN"/>
        </w:rPr>
        <w:t>的。</w:t>
      </w:r>
    </w:p>
    <w:p w14:paraId="580D05E3">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14"/>
          <w:placeholder>
            <w:docPart w:val="{3d127eba-300b-43fa-bae2-89fe3bff4be3}"/>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w:t>
          </w:r>
          <w:r>
            <w:rPr>
              <w:rFonts w:ascii="宋体" w:hAnsi="宋体" w:eastAsia="宋体"/>
              <w:color w:val="auto"/>
              <w:sz w:val="24"/>
              <w:szCs w:val="24"/>
              <w:highlight w:val="none"/>
            </w:rPr>
            <w:t>9</w:t>
          </w:r>
        </w:sdtContent>
      </w:sdt>
      <w:r>
        <w:rPr>
          <w:rFonts w:hint="eastAsia" w:ascii="宋体" w:hAnsi="宋体" w:eastAsia="宋体"/>
          <w:color w:val="auto"/>
          <w:sz w:val="24"/>
          <w:szCs w:val="24"/>
          <w:highlight w:val="none"/>
        </w:rPr>
        <w:t>卖方承诺配合参与买方举办的壹年两次的政府大宗产品推介会，并且免费提供相应的合同机型作为样机展示，否则视为违约，卖方应按对应合同机型的单价向买方支付违约金，若卖方未向买方支付，则买方有权直接从履约保证金款项中直接给予扣除。</w:t>
      </w:r>
    </w:p>
    <w:p w14:paraId="234682A2">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sdt>
        <w:sdtPr>
          <w:rPr>
            <w:rFonts w:ascii="宋体" w:hAnsi="宋体" w:eastAsia="宋体" w:cstheme="minorBidi"/>
            <w:color w:val="auto"/>
            <w:kern w:val="2"/>
            <w:sz w:val="24"/>
            <w:szCs w:val="24"/>
            <w:highlight w:val="none"/>
            <w:lang w:val="en-US" w:eastAsia="zh-CN" w:bidi="ar-SA"/>
          </w:rPr>
          <w:id w:val="147463327"/>
          <w:placeholder>
            <w:docPart w:val="{1223e8db-c744-4744-99cb-19d0cdc09771}"/>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w:t>
          </w:r>
          <w:r>
            <w:rPr>
              <w:rFonts w:ascii="宋体" w:hAnsi="宋体" w:eastAsia="宋体"/>
              <w:color w:val="auto"/>
              <w:sz w:val="24"/>
              <w:szCs w:val="24"/>
              <w:highlight w:val="none"/>
            </w:rPr>
            <w:t>10</w:t>
          </w:r>
          <w:bookmarkStart w:id="14" w:name="_Hlk107909184"/>
          <w:bookmarkStart w:id="15" w:name="_Hlk107909774"/>
          <w:r>
            <w:rPr>
              <w:rFonts w:hint="eastAsia" w:ascii="宋体" w:hAnsi="宋体" w:eastAsia="宋体"/>
              <w:color w:val="auto"/>
              <w:sz w:val="24"/>
              <w:szCs w:val="24"/>
              <w:highlight w:val="none"/>
            </w:rPr>
            <w:t>若有两家或以上的多家公司共同为本合同的卖方</w:t>
          </w:r>
          <w:bookmarkEnd w:id="14"/>
          <w:r>
            <w:rPr>
              <w:rFonts w:hint="eastAsia" w:ascii="宋体" w:hAnsi="宋体" w:eastAsia="宋体"/>
              <w:color w:val="auto"/>
              <w:sz w:val="24"/>
              <w:szCs w:val="24"/>
              <w:highlight w:val="none"/>
            </w:rPr>
            <w:t>，</w:t>
          </w:r>
          <w:bookmarkEnd w:id="15"/>
          <w:r>
            <w:rPr>
              <w:rFonts w:hint="eastAsia" w:ascii="宋体" w:hAnsi="宋体" w:eastAsia="宋体"/>
              <w:color w:val="auto"/>
              <w:sz w:val="24"/>
              <w:szCs w:val="24"/>
              <w:highlight w:val="none"/>
            </w:rPr>
            <w:t>买方有权向卖方中的任何一家或</w:t>
          </w:r>
          <w:bookmarkStart w:id="16" w:name="_Hlk107909793"/>
          <w:bookmarkStart w:id="17" w:name="_Hlk107909261"/>
          <w:r>
            <w:rPr>
              <w:rFonts w:hint="eastAsia" w:ascii="宋体" w:hAnsi="宋体" w:eastAsia="宋体"/>
              <w:color w:val="auto"/>
              <w:sz w:val="24"/>
              <w:szCs w:val="24"/>
              <w:highlight w:val="none"/>
            </w:rPr>
            <w:t>同时向</w:t>
          </w:r>
          <w:bookmarkEnd w:id="16"/>
          <w:r>
            <w:rPr>
              <w:rFonts w:hint="eastAsia" w:ascii="宋体" w:hAnsi="宋体" w:eastAsia="宋体"/>
              <w:color w:val="auto"/>
              <w:sz w:val="24"/>
              <w:szCs w:val="24"/>
              <w:highlight w:val="none"/>
            </w:rPr>
            <w:t>多家</w:t>
          </w:r>
          <w:bookmarkEnd w:id="17"/>
          <w:r>
            <w:rPr>
              <w:rFonts w:hint="eastAsia" w:ascii="宋体" w:hAnsi="宋体" w:eastAsia="宋体"/>
              <w:color w:val="auto"/>
              <w:sz w:val="24"/>
              <w:szCs w:val="24"/>
              <w:highlight w:val="none"/>
            </w:rPr>
            <w:t>就合同的履行提出索赔或要求其履行义务、责任、债务等，所有卖方共同承担合同的义务，且所有卖方就合同的履行承担连带责任。</w:t>
          </w:r>
        </w:sdtContent>
      </w:sdt>
      <w:sdt>
        <w:sdtPr>
          <w:rPr>
            <w:rFonts w:hint="eastAsia" w:ascii="宋体" w:hAnsi="宋体" w:eastAsia="宋体" w:cstheme="minorBidi"/>
            <w:color w:val="auto"/>
            <w:kern w:val="2"/>
            <w:sz w:val="24"/>
            <w:szCs w:val="24"/>
            <w:highlight w:val="none"/>
            <w:lang w:val="en-US" w:eastAsia="zh-CN" w:bidi="ar-SA"/>
          </w:rPr>
          <w:id w:val="147464666"/>
          <w:placeholder>
            <w:docPart w:val="{b2563627-c364-447a-8b78-68a464c8c573}"/>
          </w:placeholder>
          <w:showingPlcHdr/>
        </w:sdtPr>
        <w:sdtEndPr>
          <w:rPr>
            <w:rFonts w:hint="eastAsia" w:ascii="宋体" w:hAnsi="宋体" w:eastAsia="宋体" w:cstheme="minorBidi"/>
            <w:color w:val="auto"/>
            <w:kern w:val="2"/>
            <w:sz w:val="24"/>
            <w:szCs w:val="24"/>
            <w:highlight w:val="none"/>
            <w:lang w:val="en-US" w:eastAsia="zh-CN" w:bidi="ar-SA"/>
          </w:rPr>
        </w:sdtEndPr>
        <w:sdtContent>
          <w:r>
            <w:rPr>
              <w:color w:val="auto"/>
              <w:highlight w:val="none"/>
            </w:rPr>
            <w:t>单击此处输入文字。</w:t>
          </w:r>
        </w:sdtContent>
      </w:sdt>
    </w:p>
    <w:sdt>
      <w:sdtPr>
        <w:rPr>
          <w:rFonts w:hint="eastAsia" w:ascii="宋体" w:hAnsi="宋体" w:eastAsia="宋体" w:cstheme="minorBidi"/>
          <w:color w:val="auto"/>
          <w:kern w:val="2"/>
          <w:sz w:val="24"/>
          <w:szCs w:val="24"/>
          <w:highlight w:val="none"/>
          <w:lang w:val="en-US" w:eastAsia="zh-CN" w:bidi="ar-SA"/>
        </w:rPr>
        <w:id w:val="744395646"/>
        <w:placeholder>
          <w:docPart w:val="{6e1d2c33-b085-4f18-bd33-f02735736713}"/>
        </w:placeholder>
      </w:sdtPr>
      <w:sdtEndPr>
        <w:rPr>
          <w:rFonts w:hint="eastAsia" w:ascii="宋体" w:hAnsi="宋体" w:eastAsia="宋体" w:cstheme="minorBidi"/>
          <w:color w:val="auto"/>
          <w:kern w:val="2"/>
          <w:sz w:val="24"/>
          <w:szCs w:val="24"/>
          <w:highlight w:val="none"/>
          <w:lang w:val="en-US" w:eastAsia="zh-CN" w:bidi="ar-SA"/>
        </w:rPr>
      </w:sdtEndPr>
      <w:sdtContent>
        <w:sdt>
          <w:sdtPr>
            <w:rPr>
              <w:rFonts w:hint="eastAsia" w:ascii="宋体" w:hAnsi="宋体" w:eastAsia="宋体" w:cstheme="minorBidi"/>
              <w:color w:val="auto"/>
              <w:kern w:val="2"/>
              <w:sz w:val="24"/>
              <w:szCs w:val="24"/>
              <w:highlight w:val="none"/>
              <w:lang w:val="en-US" w:eastAsia="zh-CN" w:bidi="ar-SA"/>
            </w:rPr>
            <w:id w:val="147464659"/>
            <w:placeholder>
              <w:docPart w:val="{ec960dbd-1a2e-4c5e-a3a5-702ffc756d4c}"/>
            </w:placeholder>
          </w:sdtPr>
          <w:sdtEndPr>
            <w:rPr>
              <w:rFonts w:hint="eastAsia" w:ascii="宋体" w:hAnsi="宋体" w:eastAsia="宋体" w:cstheme="minorBidi"/>
              <w:color w:val="auto"/>
              <w:kern w:val="2"/>
              <w:sz w:val="24"/>
              <w:szCs w:val="24"/>
              <w:highlight w:val="none"/>
              <w:lang w:val="en-US" w:eastAsia="zh-CN" w:bidi="ar-SA"/>
            </w:rPr>
          </w:sdtEndPr>
          <w:sdtContent>
            <w:p w14:paraId="7E8CCD86">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
                </w:rPr>
                <w:t>10.11因卖方产品给买方造成的客诉，卖方在接到买方通知后3个日历日内无法解决客诉，买方有权自行解决客诉，并直接于卖方的履约保证金中扣除解决客诉所产生的费用。</w:t>
              </w:r>
            </w:p>
          </w:sdtContent>
        </w:sdt>
        <w:p w14:paraId="635F699C">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
            </w:rPr>
            <w:t>10.12卖方不按采购合同履行的，买方单位有权与排位在卖方之后第一位的中标候选供应商签订采购合同，以此类推。</w:t>
          </w:r>
        </w:p>
      </w:sdtContent>
    </w:sdt>
    <w:p w14:paraId="5C4BBDE1">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10、不可抗力</w:t>
      </w:r>
    </w:p>
    <w:p w14:paraId="7B28E84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34DFCF1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24AA6ACA">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10.3当事人一方因不可抗力的原因不能履行合同的，应及时通知对方，以减轻可能给对方造成的损失，并应当在合理期限内提供证明。</w:t>
      </w:r>
      <w:r>
        <w:rPr>
          <w:rFonts w:hint="default" w:ascii="宋体" w:hAnsi="宋体" w:cstheme="minorBidi"/>
          <w:color w:val="auto"/>
          <w:kern w:val="2"/>
          <w:sz w:val="24"/>
          <w:szCs w:val="24"/>
          <w:highlight w:val="none"/>
          <w:lang w:eastAsia="zh-CN" w:bidi="ar-SA"/>
        </w:rPr>
        <w:t xml:space="preserve"> </w:t>
      </w:r>
      <w:sdt>
        <w:sdtPr>
          <w:rPr>
            <w:rFonts w:hint="eastAsia" w:ascii="宋体" w:hAnsi="宋体" w:eastAsia="宋体" w:cstheme="minorBidi"/>
            <w:color w:val="auto"/>
            <w:kern w:val="2"/>
            <w:sz w:val="24"/>
            <w:szCs w:val="24"/>
            <w:highlight w:val="none"/>
            <w:lang w:val="en-US" w:eastAsia="zh-CN" w:bidi="ar-SA"/>
          </w:rPr>
          <w:id w:val="147460348"/>
          <w:placeholder>
            <w:docPart w:val="{42a63e2a-bd9e-46b2-8dda-2c60cb571286}"/>
          </w:placeholder>
          <w:showingPlcHdr/>
        </w:sdtPr>
        <w:sdtEndPr>
          <w:rPr>
            <w:rFonts w:hint="eastAsia" w:ascii="宋体" w:hAnsi="宋体" w:eastAsia="宋体" w:cstheme="minorBidi"/>
            <w:color w:val="auto"/>
            <w:kern w:val="2"/>
            <w:sz w:val="24"/>
            <w:szCs w:val="24"/>
            <w:highlight w:val="none"/>
            <w:lang w:val="en-US" w:eastAsia="zh-CN" w:bidi="ar-SA"/>
          </w:rPr>
        </w:sdtEndPr>
        <w:sdtContent>
          <w:r>
            <w:rPr>
              <w:color w:val="auto"/>
              <w:highlight w:val="none"/>
            </w:rPr>
            <w:t>单击此处输入文字。</w:t>
          </w:r>
        </w:sdtContent>
      </w:sdt>
    </w:p>
    <w:p w14:paraId="645996DB">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、通知</w:t>
      </w:r>
    </w:p>
    <w:p w14:paraId="69DA0098">
      <w:pPr>
        <w:adjustRightInd w:val="0"/>
        <w:snapToGrid w:val="0"/>
        <w:spacing w:line="360" w:lineRule="auto"/>
        <w:ind w:firstLine="0" w:firstLineChars="0"/>
        <w:rPr>
          <w:rFonts w:hint="eastAsia" w:ascii="宋体" w:hAnsi="宋体" w:eastAsia="宋体"/>
          <w:color w:val="auto"/>
          <w:sz w:val="24"/>
          <w:szCs w:val="24"/>
          <w:highlight w:val="none"/>
          <w:lang w:eastAsia="zh-CN"/>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双方同意凡与本合同有关的通知及文件资料的送达，可以采用直接送达、或以EMS快递或电子邮件发送至本合同签字页载明的联系地址或电子信箱，双方指定联系人及联系方式与2</w:t>
      </w:r>
      <w:r>
        <w:rPr>
          <w:rFonts w:ascii="宋体" w:hAnsi="宋体" w:eastAsia="宋体"/>
          <w:color w:val="auto"/>
          <w:sz w:val="24"/>
          <w:szCs w:val="24"/>
          <w:highlight w:val="none"/>
        </w:rPr>
        <w:t>.1.3</w:t>
      </w:r>
      <w:r>
        <w:rPr>
          <w:rFonts w:hint="eastAsia" w:ascii="宋体" w:hAnsi="宋体" w:eastAsia="宋体"/>
          <w:color w:val="auto"/>
          <w:sz w:val="24"/>
          <w:szCs w:val="24"/>
          <w:highlight w:val="none"/>
        </w:rPr>
        <w:t>条所列一致。直接送达的以签收之日为送达日，以EMS快递通知的，以发往本合同签字页载明的联系地址之日视为送达，不论是否签收；以电子邮件通知的，以发生时间为送达时间。如同时采取多种方式发送通知的，以通知最先到达之日为送达日。电子邮箱、通讯地址、联系人等信息发生变更的，变更方应在变更前三天以书面形式告知对方；未告知的，视为未变更，由此导致通知及文件资料等不能送达或不能及时送达的后果由变更方自行承担。</w:t>
      </w:r>
    </w:p>
    <w:p w14:paraId="0A317356">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双方指定的送达地址适用于合同履行、非诉方式争议解决、诉讼（含一审、二审、再审）及执行等程序。</w:t>
      </w:r>
    </w:p>
    <w:p w14:paraId="6337D6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rPr>
        <w:t>上述送达具备《中华人民共和国民事诉讼法》规定送达效力，各方放弃提出异议、抗辩未依法送达的权利，产生的后果由各方自行承担。</w:t>
      </w:r>
    </w:p>
    <w:p w14:paraId="1D93082A">
      <w:pPr>
        <w:adjustRightInd w:val="0"/>
        <w:snapToGrid w:val="0"/>
        <w:spacing w:line="360" w:lineRule="auto"/>
        <w:rPr>
          <w:rFonts w:ascii="宋体" w:hAnsi="宋体" w:eastAsia="宋体"/>
          <w:color w:val="auto"/>
          <w:sz w:val="24"/>
          <w:szCs w:val="24"/>
          <w:highlight w:val="none"/>
        </w:rPr>
      </w:pPr>
      <w:r>
        <w:rPr>
          <w:rFonts w:hint="eastAsia" w:ascii="宋体" w:hAnsi="宋体" w:eastAsia="宋体"/>
          <w:b/>
          <w:bCs/>
          <w:color w:val="auto"/>
          <w:sz w:val="24"/>
          <w:szCs w:val="24"/>
          <w:highlight w:val="none"/>
        </w:rPr>
        <w:t>12、合同纠纷处理方式</w:t>
      </w:r>
    </w:p>
    <w:p w14:paraId="39322E6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因本合同或与本合同有关的一切事项发生争议，由双方友好协商解决。协商不成的，任何一方均可向买方所在地人民法院提起诉讼。</w:t>
      </w:r>
    </w:p>
    <w:p w14:paraId="74CC63FB">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13、其他约定</w:t>
      </w:r>
    </w:p>
    <w:p w14:paraId="5BF2D21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13.1本采购项目的</w:t>
      </w:r>
      <w:sdt>
        <w:sdtPr>
          <w:rPr>
            <w:rFonts w:hint="eastAsia" w:ascii="宋体" w:hAnsi="宋体" w:eastAsia="宋体" w:cstheme="minorBidi"/>
            <w:color w:val="auto"/>
            <w:kern w:val="2"/>
            <w:sz w:val="24"/>
            <w:szCs w:val="24"/>
            <w:highlight w:val="none"/>
            <w:lang w:val="en-US" w:eastAsia="zh-CN" w:bidi="ar-SA"/>
          </w:rPr>
          <w:id w:val="147462549"/>
          <w:placeholder>
            <w:docPart w:val="{2bb26b11-8e9f-4155-92ef-8b663d0da79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谈判文件、卖方的投标文件、相关的澄清确认函（如果有的话）以及附件1《技术参数》、附件2《服务考核细则》、附件3《</w:t>
          </w:r>
          <w:r>
            <w:rPr>
              <w:rFonts w:hint="eastAsia" w:ascii="宋体" w:hAnsi="宋体" w:eastAsia="宋体" w:cs="宋体"/>
              <w:color w:val="auto"/>
              <w:sz w:val="24"/>
              <w:szCs w:val="24"/>
              <w:highlight w:val="none"/>
            </w:rPr>
            <w:t>安装费用收费标准</w:t>
          </w:r>
          <w:r>
            <w:rPr>
              <w:rFonts w:hint="eastAsia" w:ascii="宋体" w:hAnsi="宋体" w:eastAsia="宋体"/>
              <w:color w:val="auto"/>
              <w:sz w:val="24"/>
              <w:szCs w:val="24"/>
              <w:highlight w:val="none"/>
            </w:rPr>
            <w:t>》</w:t>
          </w:r>
        </w:sdtContent>
      </w:sdt>
      <w:r>
        <w:rPr>
          <w:rFonts w:hint="eastAsia" w:ascii="宋体" w:hAnsi="宋体" w:eastAsia="宋体"/>
          <w:color w:val="auto"/>
          <w:sz w:val="24"/>
          <w:szCs w:val="24"/>
          <w:highlight w:val="none"/>
        </w:rPr>
        <w:t>及其他附件均为本合同不可分割的一部分，该等文件与本合同正文约定不一致的，以对买方更有利的约定为准。</w:t>
      </w:r>
    </w:p>
    <w:p w14:paraId="5D1B85C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13.2本合同未尽事宜，双方另行补充。</w:t>
      </w:r>
    </w:p>
    <w:p w14:paraId="259660B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13.3本合同一式</w:t>
      </w:r>
      <w:sdt>
        <w:sdtPr>
          <w:rPr>
            <w:rFonts w:hint="eastAsia" w:ascii="宋体" w:hAnsi="宋体" w:eastAsia="宋体" w:cstheme="minorBidi"/>
            <w:color w:val="auto"/>
            <w:kern w:val="2"/>
            <w:sz w:val="24"/>
            <w:szCs w:val="24"/>
            <w:highlight w:val="none"/>
            <w:lang w:val="en-US" w:eastAsia="zh-CN" w:bidi="ar-SA"/>
          </w:rPr>
          <w:id w:val="147462468"/>
          <w:placeholder>
            <w:docPart w:val="{80200ccb-9f0b-4d50-9452-4187920a035e}"/>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伍</w:t>
          </w:r>
        </w:sdtContent>
      </w:sdt>
      <w:r>
        <w:rPr>
          <w:rFonts w:hint="eastAsia" w:ascii="宋体" w:hAnsi="宋体" w:eastAsia="宋体"/>
          <w:color w:val="auto"/>
          <w:sz w:val="24"/>
          <w:szCs w:val="24"/>
          <w:highlight w:val="none"/>
        </w:rPr>
        <w:t>份，经双方签订之日起生效。买方、卖方各执</w:t>
      </w:r>
      <w:sdt>
        <w:sdtPr>
          <w:rPr>
            <w:rFonts w:hint="eastAsia" w:ascii="宋体" w:hAnsi="宋体" w:eastAsia="宋体" w:cstheme="minorBidi"/>
            <w:color w:val="auto"/>
            <w:kern w:val="2"/>
            <w:sz w:val="24"/>
            <w:szCs w:val="24"/>
            <w:highlight w:val="none"/>
            <w:lang w:val="en-US" w:eastAsia="zh-CN" w:bidi="ar-SA"/>
          </w:rPr>
          <w:id w:val="147460394"/>
          <w:placeholder>
            <w:docPart w:val="{c6b4a1f2-861b-4fbd-932c-e9e414e47782}"/>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贰</w:t>
          </w:r>
        </w:sdtContent>
      </w:sdt>
      <w:r>
        <w:rPr>
          <w:rFonts w:hint="eastAsia" w:ascii="宋体" w:hAnsi="宋体" w:eastAsia="宋体"/>
          <w:color w:val="auto"/>
          <w:sz w:val="24"/>
          <w:szCs w:val="24"/>
          <w:highlight w:val="none"/>
        </w:rPr>
        <w:t>份，送厦门市财政局政府采购监管处备案一份，具有同等效力。</w:t>
      </w:r>
    </w:p>
    <w:p w14:paraId="10CFF15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13.4本合同期满后，本合同中有关质量保证、售后服务、知识产权及违约责任等条款继续保持有效。</w:t>
      </w:r>
    </w:p>
    <w:tbl>
      <w:tblPr>
        <w:tblStyle w:val="12"/>
        <w:tblW w:w="9348" w:type="dxa"/>
        <w:jc w:val="center"/>
        <w:tblLayout w:type="fixed"/>
        <w:tblCellMar>
          <w:top w:w="0" w:type="dxa"/>
          <w:left w:w="108" w:type="dxa"/>
          <w:bottom w:w="0" w:type="dxa"/>
          <w:right w:w="108" w:type="dxa"/>
        </w:tblCellMar>
      </w:tblPr>
      <w:tblGrid>
        <w:gridCol w:w="1442"/>
        <w:gridCol w:w="3121"/>
        <w:gridCol w:w="1486"/>
        <w:gridCol w:w="3299"/>
      </w:tblGrid>
      <w:tr w14:paraId="2DB5C18E">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584B911">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vAlign w:val="center"/>
          </w:tcPr>
          <w:p w14:paraId="0B38481F">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18" w:name="jf1"/>
            <w:bookmarkEnd w:id="18"/>
          </w:p>
        </w:tc>
        <w:tc>
          <w:tcPr>
            <w:tcW w:w="1486" w:type="dxa"/>
            <w:tcBorders>
              <w:top w:val="single" w:color="auto" w:sz="4" w:space="0"/>
              <w:left w:val="nil"/>
              <w:bottom w:val="single" w:color="auto" w:sz="4" w:space="0"/>
              <w:right w:val="single" w:color="auto" w:sz="4" w:space="0"/>
            </w:tcBorders>
            <w:vAlign w:val="center"/>
          </w:tcPr>
          <w:p w14:paraId="4067C556">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7D075CB7">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19" w:name="yf2"/>
            <w:bookmarkEnd w:id="19"/>
          </w:p>
        </w:tc>
      </w:tr>
      <w:tr w14:paraId="09BDCCD1">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29FB95CE">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vAlign w:val="center"/>
          </w:tcPr>
          <w:p w14:paraId="237216FA">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0" w:name="jfzcdz"/>
            <w:bookmarkEnd w:id="20"/>
          </w:p>
        </w:tc>
        <w:tc>
          <w:tcPr>
            <w:tcW w:w="1486" w:type="dxa"/>
            <w:tcBorders>
              <w:top w:val="single" w:color="auto" w:sz="4" w:space="0"/>
              <w:left w:val="nil"/>
              <w:bottom w:val="single" w:color="auto" w:sz="4" w:space="0"/>
              <w:right w:val="single" w:color="auto" w:sz="4" w:space="0"/>
            </w:tcBorders>
            <w:vAlign w:val="center"/>
          </w:tcPr>
          <w:p w14:paraId="19B3201E">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054F0448">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1" w:name="yfzcdz"/>
            <w:bookmarkEnd w:id="21"/>
          </w:p>
        </w:tc>
      </w:tr>
      <w:tr w14:paraId="70878B9B">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70460DDE">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vAlign w:val="center"/>
          </w:tcPr>
          <w:p w14:paraId="0E1B0E4E">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2" w:name="jffddbr"/>
            <w:bookmarkEnd w:id="22"/>
          </w:p>
        </w:tc>
        <w:tc>
          <w:tcPr>
            <w:tcW w:w="1486" w:type="dxa"/>
            <w:tcBorders>
              <w:top w:val="single" w:color="auto" w:sz="4" w:space="0"/>
              <w:left w:val="nil"/>
              <w:bottom w:val="single" w:color="auto" w:sz="4" w:space="0"/>
              <w:right w:val="single" w:color="auto" w:sz="4" w:space="0"/>
            </w:tcBorders>
            <w:vAlign w:val="center"/>
          </w:tcPr>
          <w:p w14:paraId="77C3D7A4">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4A595F46">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3" w:name="yffddbr"/>
            <w:bookmarkEnd w:id="23"/>
          </w:p>
        </w:tc>
      </w:tr>
      <w:tr w14:paraId="61258F7E">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3A002ECE">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vAlign w:val="center"/>
          </w:tcPr>
          <w:p w14:paraId="460328CF">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1B88EC8C">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25D33DDA">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r>
      <w:tr w14:paraId="0F041BC3">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3D771454">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vAlign w:val="center"/>
          </w:tcPr>
          <w:p w14:paraId="104D17E8">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4" w:name="jflxdh"/>
            <w:bookmarkEnd w:id="24"/>
          </w:p>
        </w:tc>
        <w:tc>
          <w:tcPr>
            <w:tcW w:w="1486" w:type="dxa"/>
            <w:tcBorders>
              <w:top w:val="single" w:color="auto" w:sz="4" w:space="0"/>
              <w:left w:val="nil"/>
              <w:bottom w:val="single" w:color="auto" w:sz="4" w:space="0"/>
              <w:right w:val="single" w:color="auto" w:sz="4" w:space="0"/>
            </w:tcBorders>
            <w:vAlign w:val="center"/>
          </w:tcPr>
          <w:p w14:paraId="25B8036D">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6C371B61">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5" w:name="yflxdh"/>
            <w:bookmarkEnd w:id="25"/>
          </w:p>
        </w:tc>
      </w:tr>
      <w:tr w14:paraId="5ECF6BDA">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36D4FEDC">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vAlign w:val="center"/>
          </w:tcPr>
          <w:p w14:paraId="47E5323B">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6" w:name="jfkhh"/>
            <w:bookmarkEnd w:id="26"/>
          </w:p>
        </w:tc>
        <w:tc>
          <w:tcPr>
            <w:tcW w:w="1486" w:type="dxa"/>
            <w:tcBorders>
              <w:top w:val="single" w:color="auto" w:sz="4" w:space="0"/>
              <w:left w:val="nil"/>
              <w:bottom w:val="single" w:color="auto" w:sz="4" w:space="0"/>
              <w:right w:val="single" w:color="auto" w:sz="4" w:space="0"/>
            </w:tcBorders>
            <w:vAlign w:val="center"/>
          </w:tcPr>
          <w:p w14:paraId="3EC8FE64">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16E90D99">
            <w:pPr>
              <w:keepNext w:val="0"/>
              <w:keepLines w:val="0"/>
              <w:suppressLineNumbers w:val="0"/>
              <w:autoSpaceDE w:val="0"/>
              <w:spacing w:before="0" w:beforeAutospacing="0" w:after="0" w:afterAutospacing="0" w:line="240" w:lineRule="atLeast"/>
              <w:ind w:left="0" w:right="0"/>
              <w:jc w:val="left"/>
              <w:rPr>
                <w:rFonts w:hint="default" w:ascii="宋体" w:hAnsi="宋体" w:eastAsia="宋体"/>
                <w:color w:val="auto"/>
                <w:kern w:val="0"/>
                <w:sz w:val="24"/>
                <w:szCs w:val="18"/>
                <w:highlight w:val="none"/>
              </w:rPr>
            </w:pPr>
            <w:bookmarkStart w:id="27" w:name="yfkhh"/>
            <w:bookmarkEnd w:id="27"/>
          </w:p>
        </w:tc>
      </w:tr>
      <w:tr w14:paraId="25185627">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259450B8">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vAlign w:val="center"/>
          </w:tcPr>
          <w:p w14:paraId="58698751">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8" w:name="jfzh"/>
            <w:bookmarkEnd w:id="28"/>
          </w:p>
        </w:tc>
        <w:tc>
          <w:tcPr>
            <w:tcW w:w="1486" w:type="dxa"/>
            <w:tcBorders>
              <w:top w:val="single" w:color="auto" w:sz="4" w:space="0"/>
              <w:left w:val="nil"/>
              <w:bottom w:val="single" w:color="auto" w:sz="4" w:space="0"/>
              <w:right w:val="single" w:color="auto" w:sz="4" w:space="0"/>
            </w:tcBorders>
            <w:vAlign w:val="center"/>
          </w:tcPr>
          <w:p w14:paraId="5A1C60D1">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78ACABCB">
            <w:pPr>
              <w:keepNext w:val="0"/>
              <w:keepLines w:val="0"/>
              <w:suppressLineNumbers w:val="0"/>
              <w:autoSpaceDE w:val="0"/>
              <w:spacing w:before="0" w:beforeAutospacing="0" w:after="0" w:afterAutospacing="0" w:line="360" w:lineRule="auto"/>
              <w:ind w:left="0" w:right="0"/>
              <w:jc w:val="left"/>
              <w:rPr>
                <w:rFonts w:hint="default" w:ascii="宋体" w:hAnsi="宋体" w:eastAsia="宋体"/>
                <w:color w:val="auto"/>
                <w:kern w:val="0"/>
                <w:sz w:val="24"/>
                <w:szCs w:val="18"/>
                <w:highlight w:val="none"/>
              </w:rPr>
            </w:pPr>
            <w:bookmarkStart w:id="29" w:name="yfzh"/>
            <w:bookmarkEnd w:id="29"/>
          </w:p>
        </w:tc>
      </w:tr>
      <w:tr w14:paraId="2B52C0A1">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1C00B42D">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14:paraId="5BD197F5">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c>
          <w:tcPr>
            <w:tcW w:w="1486" w:type="dxa"/>
            <w:tcBorders>
              <w:top w:val="single" w:color="auto" w:sz="4" w:space="0"/>
              <w:left w:val="nil"/>
              <w:bottom w:val="single" w:color="auto" w:sz="4" w:space="0"/>
              <w:right w:val="single" w:color="auto" w:sz="4" w:space="0"/>
            </w:tcBorders>
            <w:vAlign w:val="center"/>
          </w:tcPr>
          <w:p w14:paraId="02E4E73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3E61E5D9">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163B128D">
        <w:tblPrEx>
          <w:tblCellMar>
            <w:top w:w="0" w:type="dxa"/>
            <w:left w:w="108" w:type="dxa"/>
            <w:bottom w:w="0" w:type="dxa"/>
            <w:right w:w="108" w:type="dxa"/>
          </w:tblCellMar>
        </w:tblPrEx>
        <w:trPr>
          <w:trHeight w:val="415" w:hRule="atLeast"/>
          <w:jc w:val="center"/>
        </w:trPr>
        <w:tc>
          <w:tcPr>
            <w:tcW w:w="4563" w:type="dxa"/>
            <w:gridSpan w:val="2"/>
            <w:vMerge w:val="restart"/>
            <w:tcBorders>
              <w:top w:val="single" w:color="auto" w:sz="4" w:space="0"/>
              <w:left w:val="nil"/>
              <w:bottom w:val="nil"/>
              <w:right w:val="single" w:color="auto" w:sz="4" w:space="0"/>
            </w:tcBorders>
            <w:vAlign w:val="center"/>
          </w:tcPr>
          <w:p w14:paraId="1CE5EC30">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2B1A9BC4">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0B198DB0">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6AE80C7D">
        <w:tblPrEx>
          <w:tblCellMar>
            <w:top w:w="0" w:type="dxa"/>
            <w:left w:w="108" w:type="dxa"/>
            <w:bottom w:w="0" w:type="dxa"/>
            <w:right w:w="108" w:type="dxa"/>
          </w:tblCellMar>
        </w:tblPrEx>
        <w:trPr>
          <w:trHeight w:val="552" w:hRule="atLeast"/>
          <w:jc w:val="center"/>
        </w:trPr>
        <w:tc>
          <w:tcPr>
            <w:tcW w:w="4563" w:type="dxa"/>
            <w:gridSpan w:val="2"/>
            <w:vMerge w:val="continue"/>
            <w:tcBorders>
              <w:top w:val="nil"/>
              <w:left w:val="nil"/>
              <w:bottom w:val="nil"/>
              <w:right w:val="single" w:color="auto" w:sz="4" w:space="0"/>
            </w:tcBorders>
            <w:vAlign w:val="center"/>
          </w:tcPr>
          <w:p w14:paraId="543AC37C">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1BADCEB2">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3920BF51">
            <w:pPr>
              <w:pStyle w:val="7"/>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14:paraId="30AB1DFC">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4030557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2921941A">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5ECDF807">
            <w:pPr>
              <w:pStyle w:val="7"/>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14:paraId="3F80C744">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231F736E">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378918BA">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3139B0C6">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5F53939F">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13ED6BD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73E3C43D">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4366C8CD">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35C6242B">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0957A00B">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792106C3">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3B5FA644">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636792AC">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2EBA3673">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58FC7F9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44197BB9">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633464BD">
        <w:tblPrEx>
          <w:tblCellMar>
            <w:top w:w="0" w:type="dxa"/>
            <w:left w:w="108" w:type="dxa"/>
            <w:bottom w:w="0" w:type="dxa"/>
            <w:right w:w="108" w:type="dxa"/>
          </w:tblCellMar>
        </w:tblPrEx>
        <w:trPr>
          <w:trHeight w:val="70" w:hRule="atLeast"/>
          <w:jc w:val="center"/>
        </w:trPr>
        <w:tc>
          <w:tcPr>
            <w:tcW w:w="4563" w:type="dxa"/>
            <w:gridSpan w:val="2"/>
            <w:vMerge w:val="continue"/>
            <w:tcBorders>
              <w:top w:val="nil"/>
              <w:left w:val="nil"/>
              <w:bottom w:val="nil"/>
              <w:right w:val="single" w:color="auto" w:sz="4" w:space="0"/>
            </w:tcBorders>
            <w:vAlign w:val="center"/>
          </w:tcPr>
          <w:p w14:paraId="68D2DE13">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252871F0">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491B630D">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bl>
    <w:p w14:paraId="56BDA1AA">
      <w:pPr>
        <w:spacing w:line="360" w:lineRule="auto"/>
        <w:rPr>
          <w:rFonts w:ascii="宋体" w:hAnsi="宋体" w:eastAsia="宋体"/>
          <w:color w:val="auto"/>
          <w:sz w:val="24"/>
          <w:szCs w:val="24"/>
          <w:highlight w:val="none"/>
        </w:rPr>
      </w:pPr>
    </w:p>
    <w:sdt>
      <w:sdtPr>
        <w:rPr>
          <w:rFonts w:hint="eastAsia" w:ascii="宋体" w:hAnsi="宋体" w:eastAsia="宋体" w:cstheme="minorBidi"/>
          <w:b/>
          <w:bCs/>
          <w:color w:val="auto"/>
          <w:kern w:val="2"/>
          <w:sz w:val="24"/>
          <w:szCs w:val="24"/>
          <w:highlight w:val="none"/>
          <w:lang w:val="en-US" w:eastAsia="zh-CN" w:bidi="ar-SA"/>
        </w:rPr>
        <w:id w:val="147459264"/>
        <w:placeholder>
          <w:docPart w:val="{95d3f975-28ad-4488-80ea-8fa89abb4955}"/>
        </w:placeholder>
      </w:sdtPr>
      <w:sdtEndPr>
        <w:rPr>
          <w:rFonts w:hint="eastAsia" w:ascii="宋体" w:hAnsi="宋体" w:eastAsia="宋体" w:cstheme="minorBidi"/>
          <w:b/>
          <w:bCs/>
          <w:color w:val="auto"/>
          <w:kern w:val="2"/>
          <w:sz w:val="24"/>
          <w:szCs w:val="24"/>
          <w:highlight w:val="none"/>
          <w:lang w:val="en-US" w:eastAsia="zh-CN" w:bidi="ar-SA"/>
        </w:rPr>
      </w:sdtEndPr>
      <w:sdtContent>
        <w:p w14:paraId="7DC7E8ED">
          <w:pPr>
            <w:shd w:val="clear"/>
            <w:spacing w:line="360" w:lineRule="auto"/>
            <w:rPr>
              <w:rFonts w:hint="eastAsia" w:ascii="宋体" w:hAnsi="宋体" w:eastAsia="宋体" w:cstheme="minorBidi"/>
              <w:b/>
              <w:bCs/>
              <w:color w:val="auto"/>
              <w:kern w:val="2"/>
              <w:sz w:val="24"/>
              <w:szCs w:val="24"/>
              <w:highlight w:val="none"/>
              <w:lang w:val="en-US" w:eastAsia="zh-CN" w:bidi="ar-SA"/>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：技术参数</w:t>
          </w:r>
        </w:p>
      </w:sdtContent>
    </w:sdt>
    <w:p w14:paraId="0E9207C8">
      <w:pPr>
        <w:shd w:val="clear"/>
        <w:spacing w:line="360" w:lineRule="auto"/>
        <w:rPr>
          <w:rFonts w:hint="default" w:ascii="宋体" w:hAnsi="宋体" w:eastAsia="宋体" w:cstheme="minorBidi"/>
          <w:b/>
          <w:bCs/>
          <w:color w:val="auto"/>
          <w:kern w:val="2"/>
          <w:sz w:val="24"/>
          <w:szCs w:val="24"/>
          <w:highlight w:val="none"/>
          <w:lang w:val="en-US" w:eastAsia="zh-CN" w:bidi="ar-SA"/>
        </w:rPr>
      </w:pPr>
      <w:r>
        <w:rPr>
          <w:rFonts w:hint="eastAsia" w:ascii="宋体" w:hAnsi="宋体" w:eastAsia="宋体" w:cstheme="minorBidi"/>
          <w:b/>
          <w:bCs/>
          <w:color w:val="auto"/>
          <w:kern w:val="2"/>
          <w:sz w:val="24"/>
          <w:szCs w:val="24"/>
          <w:highlight w:val="none"/>
          <w:lang w:val="en-US" w:eastAsia="zh-CN" w:bidi="ar-SA"/>
        </w:rPr>
        <w:fldChar w:fldCharType="begin">
          <w:ffData>
            <w:name w:val="Text3"/>
            <w:enabled/>
            <w:calcOnExit w:val="0"/>
            <w:textInput/>
          </w:ffData>
        </w:fldChar>
      </w:r>
      <w:bookmarkStart w:id="30" w:name="Text3"/>
      <w:r>
        <w:rPr>
          <w:rFonts w:hint="eastAsia" w:ascii="宋体" w:hAnsi="宋体" w:eastAsia="宋体" w:cstheme="minorBidi"/>
          <w:b/>
          <w:bCs/>
          <w:color w:val="auto"/>
          <w:kern w:val="2"/>
          <w:sz w:val="24"/>
          <w:szCs w:val="24"/>
          <w:highlight w:val="none"/>
          <w:lang w:val="en-US" w:eastAsia="zh-CN" w:bidi="ar-SA"/>
        </w:rPr>
        <w:instrText xml:space="preserve">FORMTEXT</w:instrText>
      </w:r>
      <w:r>
        <w:rPr>
          <w:rFonts w:hint="eastAsia" w:ascii="宋体" w:hAnsi="宋体" w:eastAsia="宋体" w:cstheme="minorBidi"/>
          <w:b/>
          <w:bCs/>
          <w:color w:val="auto"/>
          <w:kern w:val="2"/>
          <w:sz w:val="24"/>
          <w:szCs w:val="24"/>
          <w:highlight w:val="none"/>
          <w:lang w:val="en-US" w:eastAsia="zh-CN" w:bidi="ar-SA"/>
        </w:rPr>
        <w:fldChar w:fldCharType="separate"/>
      </w:r>
      <w:r>
        <w:rPr>
          <w:rFonts w:hint="default" w:ascii="宋体" w:hAnsi="宋体" w:eastAsia="宋体" w:cstheme="minorBidi"/>
          <w:b/>
          <w:bCs/>
          <w:color w:val="auto"/>
          <w:kern w:val="2"/>
          <w:sz w:val="24"/>
          <w:szCs w:val="24"/>
          <w:highlight w:val="none"/>
          <w:lang w:val="en-US" w:eastAsia="zh-CN" w:bidi="ar-SA"/>
        </w:rPr>
        <w:t> </w:t>
      </w:r>
    </w:p>
    <w:tbl>
      <w:tblPr>
        <w:tblStyle w:val="12"/>
        <w:tblW w:w="484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033"/>
        <w:gridCol w:w="1836"/>
        <w:gridCol w:w="915"/>
        <w:gridCol w:w="1403"/>
        <w:gridCol w:w="1005"/>
        <w:gridCol w:w="163"/>
        <w:gridCol w:w="1215"/>
      </w:tblGrid>
      <w:tr w14:paraId="15550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14" w:type="pct"/>
            <w:tcBorders>
              <w:top w:val="single" w:color="auto" w:sz="4" w:space="0"/>
              <w:left w:val="single" w:color="auto" w:sz="4" w:space="0"/>
              <w:bottom w:val="single" w:color="auto" w:sz="4" w:space="0"/>
              <w:right w:val="single" w:color="auto" w:sz="4" w:space="0"/>
            </w:tcBorders>
            <w:vAlign w:val="center"/>
          </w:tcPr>
          <w:p w14:paraId="622CA667">
            <w:pPr>
              <w:keepNext w:val="0"/>
              <w:keepLines w:val="0"/>
              <w:suppressLineNumbers w:val="0"/>
              <w:shd w:val="clear"/>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1-1</w:t>
            </w:r>
          </w:p>
        </w:tc>
        <w:tc>
          <w:tcPr>
            <w:tcW w:w="626" w:type="pct"/>
            <w:tcBorders>
              <w:top w:val="single" w:color="auto" w:sz="4" w:space="0"/>
              <w:left w:val="single" w:color="auto" w:sz="4" w:space="0"/>
              <w:bottom w:val="single" w:color="auto" w:sz="4" w:space="0"/>
              <w:right w:val="single" w:color="auto" w:sz="4" w:space="0"/>
            </w:tcBorders>
            <w:vAlign w:val="center"/>
          </w:tcPr>
          <w:p w14:paraId="5017730C">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vAlign w:val="center"/>
          </w:tcPr>
          <w:p w14:paraId="0EB2EB6F">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vAlign w:val="center"/>
          </w:tcPr>
          <w:p w14:paraId="32D65041">
            <w:pPr>
              <w:keepNext w:val="0"/>
              <w:keepLines w:val="0"/>
              <w:suppressLineNumbers w:val="0"/>
              <w:shd w:val="clear"/>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vAlign w:val="center"/>
          </w:tcPr>
          <w:p w14:paraId="40CBF2CC">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609" w:type="pct"/>
            <w:tcBorders>
              <w:top w:val="single" w:color="auto" w:sz="4" w:space="0"/>
              <w:left w:val="single" w:color="auto" w:sz="4" w:space="0"/>
              <w:bottom w:val="single" w:color="auto" w:sz="4" w:space="0"/>
              <w:right w:val="single" w:color="auto" w:sz="4" w:space="0"/>
            </w:tcBorders>
            <w:vAlign w:val="center"/>
          </w:tcPr>
          <w:p w14:paraId="3C60EC9C">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834" w:type="pct"/>
            <w:gridSpan w:val="2"/>
            <w:tcBorders>
              <w:top w:val="single" w:color="auto" w:sz="4" w:space="0"/>
              <w:left w:val="single" w:color="auto" w:sz="4" w:space="0"/>
              <w:bottom w:val="single" w:color="auto" w:sz="4" w:space="0"/>
              <w:right w:val="single" w:color="auto" w:sz="4" w:space="0"/>
            </w:tcBorders>
            <w:vAlign w:val="center"/>
          </w:tcPr>
          <w:p w14:paraId="0612396C">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14:paraId="39A6E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5000" w:type="pct"/>
            <w:gridSpan w:val="8"/>
            <w:tcBorders>
              <w:top w:val="single" w:color="auto" w:sz="4" w:space="0"/>
              <w:left w:val="single" w:color="auto" w:sz="4" w:space="0"/>
              <w:bottom w:val="single" w:color="auto" w:sz="4" w:space="0"/>
              <w:right w:val="single" w:color="auto" w:sz="4" w:space="0"/>
            </w:tcBorders>
            <w:vAlign w:val="center"/>
          </w:tcPr>
          <w:p w14:paraId="618EFFAF">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24EEC2AF">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1FEE6286">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0D2794B1">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1CB6E468">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35AB5D0A">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2D9924CE">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7BF9B436">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tc>
      </w:tr>
      <w:tr w14:paraId="635B3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414" w:type="pct"/>
            <w:tcBorders>
              <w:top w:val="single" w:color="auto" w:sz="4" w:space="0"/>
              <w:left w:val="single" w:color="auto" w:sz="4" w:space="0"/>
              <w:bottom w:val="single" w:color="auto" w:sz="4" w:space="0"/>
              <w:right w:val="single" w:color="auto" w:sz="4" w:space="0"/>
            </w:tcBorders>
            <w:vAlign w:val="center"/>
          </w:tcPr>
          <w:p w14:paraId="4E72B423">
            <w:pPr>
              <w:keepNext w:val="0"/>
              <w:keepLines w:val="0"/>
              <w:suppressLineNumbers w:val="0"/>
              <w:shd w:val="clear"/>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1-2</w:t>
            </w:r>
          </w:p>
        </w:tc>
        <w:tc>
          <w:tcPr>
            <w:tcW w:w="626" w:type="pct"/>
            <w:tcBorders>
              <w:top w:val="single" w:color="auto" w:sz="4" w:space="0"/>
              <w:left w:val="single" w:color="auto" w:sz="4" w:space="0"/>
              <w:bottom w:val="single" w:color="auto" w:sz="4" w:space="0"/>
              <w:right w:val="single" w:color="auto" w:sz="4" w:space="0"/>
            </w:tcBorders>
            <w:vAlign w:val="center"/>
          </w:tcPr>
          <w:p w14:paraId="73EF9EFD">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vAlign w:val="center"/>
          </w:tcPr>
          <w:p w14:paraId="061A3EB0">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vAlign w:val="center"/>
          </w:tcPr>
          <w:p w14:paraId="44173638">
            <w:pPr>
              <w:keepNext w:val="0"/>
              <w:keepLines w:val="0"/>
              <w:suppressLineNumbers w:val="0"/>
              <w:shd w:val="clear"/>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vAlign w:val="center"/>
          </w:tcPr>
          <w:p w14:paraId="6B3E48B9">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708" w:type="pct"/>
            <w:gridSpan w:val="2"/>
            <w:tcBorders>
              <w:top w:val="single" w:color="auto" w:sz="4" w:space="0"/>
              <w:left w:val="single" w:color="auto" w:sz="4" w:space="0"/>
              <w:bottom w:val="single" w:color="auto" w:sz="4" w:space="0"/>
              <w:right w:val="single" w:color="auto" w:sz="4" w:space="0"/>
            </w:tcBorders>
            <w:vAlign w:val="center"/>
          </w:tcPr>
          <w:p w14:paraId="3C3C92A7">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735" w:type="pct"/>
            <w:tcBorders>
              <w:top w:val="single" w:color="auto" w:sz="4" w:space="0"/>
              <w:left w:val="single" w:color="auto" w:sz="4" w:space="0"/>
              <w:bottom w:val="single" w:color="auto" w:sz="4" w:space="0"/>
              <w:right w:val="single" w:color="auto" w:sz="4" w:space="0"/>
            </w:tcBorders>
            <w:vAlign w:val="center"/>
          </w:tcPr>
          <w:p w14:paraId="2462F5BA">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14:paraId="3F723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000" w:type="pct"/>
            <w:gridSpan w:val="8"/>
            <w:tcBorders>
              <w:top w:val="single" w:color="auto" w:sz="4" w:space="0"/>
              <w:left w:val="single" w:color="auto" w:sz="4" w:space="0"/>
              <w:bottom w:val="single" w:color="auto" w:sz="4" w:space="0"/>
              <w:right w:val="single" w:color="auto" w:sz="4" w:space="0"/>
            </w:tcBorders>
            <w:vAlign w:val="center"/>
          </w:tcPr>
          <w:p w14:paraId="23DFCED6">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10388C66">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12D13EE2">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7660F28B">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544EE030">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7E82CF2A">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7692654D">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617DAF8D">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tc>
      </w:tr>
    </w:tbl>
    <w:p w14:paraId="310BCE0F">
      <w:pPr>
        <w:shd w:val="clear"/>
        <w:spacing w:line="360" w:lineRule="auto"/>
        <w:rPr>
          <w:rFonts w:hint="eastAsia" w:ascii="宋体" w:hAnsi="宋体" w:eastAsia="宋体" w:cstheme="minorBidi"/>
          <w:b/>
          <w:bCs/>
          <w:color w:val="auto"/>
          <w:kern w:val="2"/>
          <w:sz w:val="24"/>
          <w:szCs w:val="24"/>
          <w:highlight w:val="none"/>
          <w:lang w:val="en-US" w:eastAsia="zh-CN" w:bidi="ar-SA"/>
        </w:rPr>
      </w:pPr>
      <w:r>
        <w:rPr>
          <w:rFonts w:hint="default" w:ascii="宋体" w:hAnsi="宋体" w:eastAsia="宋体" w:cstheme="minorBidi"/>
          <w:b/>
          <w:bCs/>
          <w:color w:val="auto"/>
          <w:kern w:val="2"/>
          <w:sz w:val="24"/>
          <w:szCs w:val="24"/>
          <w:highlight w:val="none"/>
          <w:lang w:val="en-US" w:eastAsia="zh-CN" w:bidi="ar-SA"/>
        </w:rPr>
        <w:t> </w:t>
      </w:r>
      <w:r>
        <w:rPr>
          <w:rFonts w:hint="eastAsia" w:ascii="宋体" w:hAnsi="宋体" w:eastAsia="宋体" w:cstheme="minorBidi"/>
          <w:b/>
          <w:bCs/>
          <w:color w:val="auto"/>
          <w:kern w:val="2"/>
          <w:sz w:val="24"/>
          <w:szCs w:val="24"/>
          <w:highlight w:val="none"/>
          <w:lang w:val="en-US" w:eastAsia="zh-CN" w:bidi="ar-SA"/>
        </w:rPr>
        <w:fldChar w:fldCharType="end"/>
      </w:r>
      <w:bookmarkEnd w:id="30"/>
    </w:p>
    <w:p w14:paraId="285A8D0D">
      <w:pPr>
        <w:spacing w:line="360" w:lineRule="auto"/>
        <w:rPr>
          <w:rFonts w:ascii="宋体" w:hAnsi="宋体" w:eastAsia="宋体"/>
          <w:color w:val="auto"/>
          <w:sz w:val="24"/>
          <w:szCs w:val="24"/>
          <w:highlight w:val="none"/>
        </w:rPr>
      </w:pPr>
    </w:p>
    <w:p w14:paraId="3E900541">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p w14:paraId="0866008A">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2</w:t>
      </w:r>
      <w:r>
        <w:rPr>
          <w:rFonts w:hint="eastAsia" w:ascii="宋体" w:hAnsi="宋体" w:eastAsia="宋体"/>
          <w:b/>
          <w:bCs/>
          <w:color w:val="auto"/>
          <w:sz w:val="24"/>
          <w:szCs w:val="24"/>
          <w:highlight w:val="none"/>
        </w:rPr>
        <w:t>：服务考核细则</w:t>
      </w:r>
    </w:p>
    <w:p w14:paraId="2437F238">
      <w:pPr>
        <w:rPr>
          <w:rFonts w:ascii="宋体" w:hAnsi="宋体" w:eastAsia="宋体"/>
          <w:color w:val="auto"/>
          <w:sz w:val="24"/>
          <w:szCs w:val="24"/>
          <w:highlight w:val="none"/>
        </w:rPr>
      </w:pPr>
    </w:p>
    <w:p w14:paraId="55A920C1">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保修期间，买方将定期对最终用户进行回访，跟踪了解设备的使用情况及卖方的售后服务质量，依照以上的服务承诺，制定以下考核细则。</w:t>
      </w:r>
    </w:p>
    <w:p w14:paraId="2973D607">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1、合同期内每月考核一次；</w:t>
      </w:r>
    </w:p>
    <w:p w14:paraId="03FBEAB0">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p>
    <w:p w14:paraId="53187FC1">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3、买方有权从应付但未付给卖方的任一笔款项中，扣除考核结果中列明的违约金。</w:t>
      </w:r>
    </w:p>
    <w:p w14:paraId="1ED044BE">
      <w:pPr>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4、具体违约金标准如下：</w:t>
      </w:r>
    </w:p>
    <w:p w14:paraId="20D6F6E2">
      <w:pPr>
        <w:ind w:firstLine="480" w:firstLineChars="200"/>
        <w:rPr>
          <w:rFonts w:hint="default" w:ascii="宋体" w:hAnsi="宋体" w:eastAsia="宋体"/>
          <w:color w:val="auto"/>
          <w:sz w:val="24"/>
          <w:szCs w:val="24"/>
          <w:highlight w:val="none"/>
          <w:lang w:val="en-US"/>
        </w:rPr>
      </w:pPr>
      <w:r>
        <w:rPr>
          <w:rFonts w:hint="eastAsia" w:ascii="宋体" w:hAnsi="宋体" w:eastAsia="宋体"/>
          <w:color w:val="auto"/>
          <w:sz w:val="24"/>
          <w:szCs w:val="24"/>
          <w:highlight w:val="none"/>
        </w:rPr>
        <w:fldChar w:fldCharType="begin">
          <w:ffData>
            <w:name w:val="Text4"/>
            <w:enabled/>
            <w:calcOnExit w:val="0"/>
            <w:textInput/>
          </w:ffData>
        </w:fldChar>
      </w:r>
      <w:bookmarkStart w:id="31" w:name="Text4"/>
      <w:r>
        <w:rPr>
          <w:rFonts w:hint="eastAsia" w:ascii="宋体" w:hAnsi="宋体" w:eastAsia="宋体"/>
          <w:color w:val="auto"/>
          <w:sz w:val="24"/>
          <w:szCs w:val="24"/>
          <w:highlight w:val="none"/>
        </w:rPr>
        <w:instrText xml:space="preserve">FORMTEXT</w:instrText>
      </w:r>
      <w:r>
        <w:rPr>
          <w:rFonts w:hint="eastAsia" w:ascii="宋体" w:hAnsi="宋体" w:eastAsia="宋体"/>
          <w:color w:val="auto"/>
          <w:sz w:val="24"/>
          <w:szCs w:val="24"/>
          <w:highlight w:val="none"/>
        </w:rPr>
        <w:fldChar w:fldCharType="separate"/>
      </w:r>
      <w:r>
        <w:rPr>
          <w:rFonts w:hint="default" w:ascii="宋体" w:hAnsi="宋体" w:eastAsia="宋体"/>
          <w:color w:val="auto"/>
          <w:sz w:val="24"/>
          <w:szCs w:val="24"/>
          <w:highlight w:val="none"/>
          <w:lang w:val="en-US"/>
        </w:rPr>
        <w:t> </w:t>
      </w:r>
    </w:p>
    <w:tbl>
      <w:tblPr>
        <w:tblStyle w:val="13"/>
        <w:tblW w:w="1073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85"/>
        <w:gridCol w:w="852"/>
        <w:gridCol w:w="1181"/>
        <w:gridCol w:w="1038"/>
        <w:gridCol w:w="3257"/>
        <w:gridCol w:w="1787"/>
        <w:gridCol w:w="2139"/>
      </w:tblGrid>
      <w:tr w14:paraId="617007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3C6CD9FB">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序号</w:t>
            </w:r>
          </w:p>
        </w:tc>
        <w:tc>
          <w:tcPr>
            <w:tcW w:w="852" w:type="dxa"/>
          </w:tcPr>
          <w:p w14:paraId="7B3EBCE4">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考核项目</w:t>
            </w:r>
          </w:p>
        </w:tc>
        <w:tc>
          <w:tcPr>
            <w:tcW w:w="1181" w:type="dxa"/>
          </w:tcPr>
          <w:p w14:paraId="5C2CEFA6">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考核说明</w:t>
            </w:r>
          </w:p>
        </w:tc>
        <w:tc>
          <w:tcPr>
            <w:tcW w:w="1038" w:type="dxa"/>
          </w:tcPr>
          <w:p w14:paraId="6EEB60EF">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涉及服务环节</w:t>
            </w:r>
          </w:p>
        </w:tc>
        <w:tc>
          <w:tcPr>
            <w:tcW w:w="3257" w:type="dxa"/>
          </w:tcPr>
          <w:p w14:paraId="61CC62DB">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供应商服务要求</w:t>
            </w:r>
          </w:p>
        </w:tc>
        <w:tc>
          <w:tcPr>
            <w:tcW w:w="1787" w:type="dxa"/>
            <w:noWrap/>
          </w:tcPr>
          <w:p w14:paraId="18CB588F">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考核标准</w:t>
            </w:r>
          </w:p>
        </w:tc>
        <w:tc>
          <w:tcPr>
            <w:tcW w:w="2139" w:type="dxa"/>
            <w:noWrap/>
          </w:tcPr>
          <w:p w14:paraId="233EEBBB">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考核金额</w:t>
            </w:r>
          </w:p>
        </w:tc>
      </w:tr>
      <w:tr w14:paraId="0C443E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1" w:hRule="atLeast"/>
          <w:jc w:val="center"/>
        </w:trPr>
        <w:tc>
          <w:tcPr>
            <w:tcW w:w="485" w:type="dxa"/>
            <w:noWrap/>
          </w:tcPr>
          <w:p w14:paraId="0C63EB81">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w:t>
            </w:r>
          </w:p>
        </w:tc>
        <w:tc>
          <w:tcPr>
            <w:tcW w:w="852" w:type="dxa"/>
            <w:vMerge w:val="restart"/>
          </w:tcPr>
          <w:p w14:paraId="4738FB0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服务效率</w:t>
            </w:r>
          </w:p>
        </w:tc>
        <w:tc>
          <w:tcPr>
            <w:tcW w:w="1181" w:type="dxa"/>
            <w:vMerge w:val="restart"/>
          </w:tcPr>
          <w:p w14:paraId="6C9DF70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1、服务响应不及时或服务时间超出约定时间，且未提前与最终用户做好沟通，或未经最终用户同意。</w:t>
            </w:r>
          </w:p>
          <w:p w14:paraId="5956A64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2、未在规定时间内解决最终用户的正当需求，最终用户要求但未提供备用机；</w:t>
            </w:r>
          </w:p>
          <w:p w14:paraId="51D7937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3、设备维修时超出约定时间仍未修复的；</w:t>
            </w:r>
          </w:p>
          <w:p w14:paraId="67A68F1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4、需要提供服务的设备超出一台且满足上述任一条件的，按200元/台/次考核</w:t>
            </w:r>
          </w:p>
        </w:tc>
        <w:tc>
          <w:tcPr>
            <w:tcW w:w="1038" w:type="dxa"/>
          </w:tcPr>
          <w:p w14:paraId="72C29F3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电话响应时效</w:t>
            </w:r>
          </w:p>
        </w:tc>
        <w:tc>
          <w:tcPr>
            <w:tcW w:w="3257" w:type="dxa"/>
          </w:tcPr>
          <w:p w14:paraId="4615718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收到万翔客服专员通知后，在1个工作小时内联系客户约定上门时间；并及时将约定时间反馈给万翔客服专员。</w:t>
            </w:r>
          </w:p>
        </w:tc>
        <w:tc>
          <w:tcPr>
            <w:tcW w:w="1787" w:type="dxa"/>
          </w:tcPr>
          <w:p w14:paraId="0CD5F9A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万翔客服专员报单后1个工作小时内</w:t>
            </w:r>
          </w:p>
        </w:tc>
        <w:tc>
          <w:tcPr>
            <w:tcW w:w="2139" w:type="dxa"/>
          </w:tcPr>
          <w:p w14:paraId="4976C6C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79D8B6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7935380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w:t>
            </w:r>
          </w:p>
        </w:tc>
        <w:tc>
          <w:tcPr>
            <w:tcW w:w="852" w:type="dxa"/>
            <w:vMerge w:val="continue"/>
          </w:tcPr>
          <w:p w14:paraId="0367489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0CAFD24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14:paraId="142D7DB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上门服务时效</w:t>
            </w:r>
          </w:p>
        </w:tc>
        <w:tc>
          <w:tcPr>
            <w:tcW w:w="3257" w:type="dxa"/>
            <w:vMerge w:val="restart"/>
          </w:tcPr>
          <w:p w14:paraId="716BAA7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按与客户约定时间上门服务；</w:t>
            </w:r>
          </w:p>
          <w:p w14:paraId="562C6BC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如特殊情况不能按约定时间上门，必须提前联系最终用户且征得最终用户的同意，同时重新预约上门服务时间，并务必保证按此约定时间上门。</w:t>
            </w:r>
          </w:p>
        </w:tc>
        <w:tc>
          <w:tcPr>
            <w:tcW w:w="1787" w:type="dxa"/>
          </w:tcPr>
          <w:p w14:paraId="365FFD4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万翔客服专员报单后4个工作小时内</w:t>
            </w:r>
          </w:p>
        </w:tc>
        <w:tc>
          <w:tcPr>
            <w:tcW w:w="2139" w:type="dxa"/>
          </w:tcPr>
          <w:p w14:paraId="74BA529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339320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6" w:hRule="atLeast"/>
          <w:jc w:val="center"/>
        </w:trPr>
        <w:tc>
          <w:tcPr>
            <w:tcW w:w="485" w:type="dxa"/>
            <w:noWrap/>
          </w:tcPr>
          <w:p w14:paraId="09B1DB1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w:t>
            </w:r>
          </w:p>
        </w:tc>
        <w:tc>
          <w:tcPr>
            <w:tcW w:w="852" w:type="dxa"/>
            <w:vMerge w:val="continue"/>
          </w:tcPr>
          <w:p w14:paraId="40AB5B7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5568797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14:paraId="0F3BF14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vMerge w:val="continue"/>
          </w:tcPr>
          <w:p w14:paraId="7C11823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787" w:type="dxa"/>
          </w:tcPr>
          <w:p w14:paraId="67102CE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因</w:t>
            </w:r>
            <w:r>
              <w:rPr>
                <w:rFonts w:hint="eastAsia" w:ascii="宋体" w:hAnsi="宋体" w:eastAsia="宋体" w:cs="宋体"/>
                <w:b/>
                <w:bCs/>
                <w:color w:val="auto"/>
                <w:kern w:val="0"/>
                <w:sz w:val="18"/>
                <w:szCs w:val="18"/>
                <w:highlight w:val="none"/>
              </w:rPr>
              <w:t>客户原因</w:t>
            </w:r>
            <w:r>
              <w:rPr>
                <w:rFonts w:hint="eastAsia" w:ascii="宋体" w:hAnsi="宋体" w:eastAsia="宋体" w:cs="宋体"/>
                <w:color w:val="auto"/>
                <w:kern w:val="0"/>
                <w:sz w:val="18"/>
                <w:szCs w:val="18"/>
                <w:highlight w:val="none"/>
              </w:rPr>
              <w:t>需延后上门时间并另外约定上门时间，需在承诺的时间内达到</w:t>
            </w:r>
          </w:p>
        </w:tc>
        <w:tc>
          <w:tcPr>
            <w:tcW w:w="2139" w:type="dxa"/>
          </w:tcPr>
          <w:p w14:paraId="1A2BD0D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667E24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jc w:val="center"/>
        </w:trPr>
        <w:tc>
          <w:tcPr>
            <w:tcW w:w="485" w:type="dxa"/>
            <w:noWrap/>
          </w:tcPr>
          <w:p w14:paraId="408C957A">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w:t>
            </w:r>
          </w:p>
        </w:tc>
        <w:tc>
          <w:tcPr>
            <w:tcW w:w="852" w:type="dxa"/>
            <w:vMerge w:val="continue"/>
          </w:tcPr>
          <w:p w14:paraId="6A0C1A9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19938F9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14:paraId="37755F3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维修时效</w:t>
            </w:r>
          </w:p>
        </w:tc>
        <w:tc>
          <w:tcPr>
            <w:tcW w:w="3257" w:type="dxa"/>
          </w:tcPr>
          <w:p w14:paraId="3072448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上门检测后需现场向最终用户说明故障情况并告知解决方案、如需调拨维修配件，需要告知最终用户配件更换时效并征得客户同意</w:t>
            </w:r>
          </w:p>
        </w:tc>
        <w:tc>
          <w:tcPr>
            <w:tcW w:w="1787" w:type="dxa"/>
          </w:tcPr>
          <w:p w14:paraId="18674EA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在承诺的时间内完成服务</w:t>
            </w:r>
          </w:p>
        </w:tc>
        <w:tc>
          <w:tcPr>
            <w:tcW w:w="2139" w:type="dxa"/>
          </w:tcPr>
          <w:p w14:paraId="5C36FA8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7E4BC8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7" w:hRule="atLeast"/>
          <w:jc w:val="center"/>
        </w:trPr>
        <w:tc>
          <w:tcPr>
            <w:tcW w:w="485" w:type="dxa"/>
            <w:noWrap/>
          </w:tcPr>
          <w:p w14:paraId="3E5443E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852" w:type="dxa"/>
            <w:vMerge w:val="continue"/>
          </w:tcPr>
          <w:p w14:paraId="304A6E0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0075974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14:paraId="290130E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tcPr>
          <w:p w14:paraId="3AABBDE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1787" w:type="dxa"/>
          </w:tcPr>
          <w:p w14:paraId="33E1ED0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向客户说明情况，告知客户提供备用机和退换机的解决方案，同时告知客户服务时效，并在承诺的时间内完成相应的服务内容。</w:t>
            </w:r>
          </w:p>
        </w:tc>
        <w:tc>
          <w:tcPr>
            <w:tcW w:w="2139" w:type="dxa"/>
          </w:tcPr>
          <w:p w14:paraId="32B33F7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6B0383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3" w:hRule="atLeast"/>
          <w:jc w:val="center"/>
        </w:trPr>
        <w:tc>
          <w:tcPr>
            <w:tcW w:w="485" w:type="dxa"/>
            <w:noWrap/>
          </w:tcPr>
          <w:p w14:paraId="6920A760">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w:t>
            </w:r>
          </w:p>
        </w:tc>
        <w:tc>
          <w:tcPr>
            <w:tcW w:w="852" w:type="dxa"/>
            <w:vMerge w:val="continue"/>
          </w:tcPr>
          <w:p w14:paraId="2FDEB5E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12F2E6C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675A205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备用机提供时效</w:t>
            </w:r>
          </w:p>
        </w:tc>
        <w:tc>
          <w:tcPr>
            <w:tcW w:w="3257" w:type="dxa"/>
          </w:tcPr>
          <w:p w14:paraId="1393B97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服务商自行提供备用机，按与客户约定时间完成服务</w:t>
            </w:r>
          </w:p>
        </w:tc>
        <w:tc>
          <w:tcPr>
            <w:tcW w:w="1787" w:type="dxa"/>
          </w:tcPr>
          <w:p w14:paraId="67BCBE8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客户确认使用备用机后在1个工作日内提供备机</w:t>
            </w:r>
          </w:p>
        </w:tc>
        <w:tc>
          <w:tcPr>
            <w:tcW w:w="2139" w:type="dxa"/>
          </w:tcPr>
          <w:p w14:paraId="6924BCB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21D137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5" w:hRule="atLeast"/>
          <w:jc w:val="center"/>
        </w:trPr>
        <w:tc>
          <w:tcPr>
            <w:tcW w:w="485" w:type="dxa"/>
            <w:noWrap/>
          </w:tcPr>
          <w:p w14:paraId="08530A2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w:t>
            </w:r>
          </w:p>
        </w:tc>
        <w:tc>
          <w:tcPr>
            <w:tcW w:w="852" w:type="dxa"/>
            <w:vMerge w:val="continue"/>
          </w:tcPr>
          <w:p w14:paraId="0EEE09A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15476E6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14:paraId="2AA464C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换机服务时效</w:t>
            </w:r>
          </w:p>
        </w:tc>
        <w:tc>
          <w:tcPr>
            <w:tcW w:w="3257" w:type="dxa"/>
          </w:tcPr>
          <w:p w14:paraId="6DED9B6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确认换机后，在5个工作日内完成换机，如果超出5个工作日必须征得最终用户的同意，并在承诺的时间内完成服务</w:t>
            </w:r>
          </w:p>
        </w:tc>
        <w:tc>
          <w:tcPr>
            <w:tcW w:w="1787" w:type="dxa"/>
          </w:tcPr>
          <w:p w14:paraId="43DE950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在承诺的时间内完成换机。</w:t>
            </w:r>
          </w:p>
        </w:tc>
        <w:tc>
          <w:tcPr>
            <w:tcW w:w="2139" w:type="dxa"/>
          </w:tcPr>
          <w:p w14:paraId="2F39A1F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5E7398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2" w:hRule="atLeast"/>
          <w:jc w:val="center"/>
        </w:trPr>
        <w:tc>
          <w:tcPr>
            <w:tcW w:w="485" w:type="dxa"/>
            <w:noWrap/>
          </w:tcPr>
          <w:p w14:paraId="3C361CF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w:t>
            </w:r>
          </w:p>
        </w:tc>
        <w:tc>
          <w:tcPr>
            <w:tcW w:w="852" w:type="dxa"/>
            <w:vMerge w:val="continue"/>
          </w:tcPr>
          <w:p w14:paraId="179A79C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31D2B44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14:paraId="7C8A147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tcPr>
          <w:p w14:paraId="042B15A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1787" w:type="dxa"/>
          </w:tcPr>
          <w:p w14:paraId="3DEB816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同意并给予客户换机。</w:t>
            </w:r>
          </w:p>
        </w:tc>
        <w:tc>
          <w:tcPr>
            <w:tcW w:w="2139" w:type="dxa"/>
          </w:tcPr>
          <w:p w14:paraId="3FF6C3F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500元/台/次；同时在质保金中扣除换新机所需货款，由万翔直接给客户换机</w:t>
            </w:r>
          </w:p>
        </w:tc>
      </w:tr>
      <w:tr w14:paraId="2B29E2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3" w:hRule="atLeast"/>
          <w:jc w:val="center"/>
        </w:trPr>
        <w:tc>
          <w:tcPr>
            <w:tcW w:w="485" w:type="dxa"/>
            <w:noWrap/>
          </w:tcPr>
          <w:p w14:paraId="7F9F723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w:t>
            </w:r>
          </w:p>
        </w:tc>
        <w:tc>
          <w:tcPr>
            <w:tcW w:w="852" w:type="dxa"/>
            <w:vMerge w:val="continue"/>
          </w:tcPr>
          <w:p w14:paraId="1211E7C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34A5774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2CB24E3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验收报告/辅材发票提供时效</w:t>
            </w:r>
          </w:p>
        </w:tc>
        <w:tc>
          <w:tcPr>
            <w:tcW w:w="3257" w:type="dxa"/>
          </w:tcPr>
          <w:p w14:paraId="4091B29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收到万翔客服专员通知后，2个工作日内提供验收报告/辅材发票给最终用户。</w:t>
            </w:r>
          </w:p>
        </w:tc>
        <w:tc>
          <w:tcPr>
            <w:tcW w:w="1787" w:type="dxa"/>
          </w:tcPr>
          <w:p w14:paraId="1570F91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万翔客服专员报单后2个工作日内</w:t>
            </w:r>
          </w:p>
        </w:tc>
        <w:tc>
          <w:tcPr>
            <w:tcW w:w="2139" w:type="dxa"/>
          </w:tcPr>
          <w:p w14:paraId="4C3E1B2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400元/单/次，每逾期1个工作日按100元/单/工作日的标准加收违约金；</w:t>
            </w:r>
          </w:p>
        </w:tc>
      </w:tr>
      <w:tr w14:paraId="15F24C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2" w:hRule="atLeast"/>
          <w:jc w:val="center"/>
        </w:trPr>
        <w:tc>
          <w:tcPr>
            <w:tcW w:w="485" w:type="dxa"/>
            <w:noWrap/>
          </w:tcPr>
          <w:p w14:paraId="1FF3220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852" w:type="dxa"/>
            <w:vMerge w:val="restart"/>
            <w:noWrap/>
          </w:tcPr>
          <w:p w14:paraId="56C906D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服务规范</w:t>
            </w:r>
          </w:p>
        </w:tc>
        <w:tc>
          <w:tcPr>
            <w:tcW w:w="1181" w:type="dxa"/>
            <w:vMerge w:val="restart"/>
          </w:tcPr>
          <w:p w14:paraId="772B10B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038" w:type="dxa"/>
          </w:tcPr>
          <w:p w14:paraId="5DE078D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服务前的服务规范</w:t>
            </w:r>
          </w:p>
        </w:tc>
        <w:tc>
          <w:tcPr>
            <w:tcW w:w="3257" w:type="dxa"/>
          </w:tcPr>
          <w:p w14:paraId="2808887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1）上门服务人员应着品牌工装；</w:t>
            </w:r>
          </w:p>
          <w:p w14:paraId="2E60A38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 2）安装/维修前应与最终用户核对机器型号、配置和台数；如维修需要向客户核实故障现象。</w:t>
            </w:r>
          </w:p>
          <w:p w14:paraId="7F81679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3）安装前检查确认外包装完好再拆箱安装；如有异常须及时向最终用户反馈并报备给万翔客服专员后，再进行开箱验机；</w:t>
            </w:r>
          </w:p>
          <w:p w14:paraId="72546A0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4）安装/维修前应检查最终用户的电源电压是否安全稳定，如有问题，应及时告知最终用户，协商整改；</w:t>
            </w:r>
          </w:p>
          <w:p w14:paraId="585D964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5）由于服务单位自身原因造成多人或多次联系客户、或上门服务时发现由于自身原因不能提供服务（如上门服务发现未带物料、上门安装空调发现未取孔）；</w:t>
            </w:r>
          </w:p>
          <w:p w14:paraId="2ECB3C6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6）上门安装/维修时发现由于环境复杂或安装/维修有难度，拒绝为客户提供服务。</w:t>
            </w:r>
          </w:p>
        </w:tc>
        <w:tc>
          <w:tcPr>
            <w:tcW w:w="1787" w:type="dxa"/>
          </w:tcPr>
          <w:p w14:paraId="6D3C0C6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7A89601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6763FF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atLeast"/>
          <w:jc w:val="center"/>
        </w:trPr>
        <w:tc>
          <w:tcPr>
            <w:tcW w:w="485" w:type="dxa"/>
            <w:noWrap/>
          </w:tcPr>
          <w:p w14:paraId="0346CEA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11</w:t>
            </w:r>
          </w:p>
        </w:tc>
        <w:tc>
          <w:tcPr>
            <w:tcW w:w="852" w:type="dxa"/>
            <w:vMerge w:val="continue"/>
          </w:tcPr>
          <w:p w14:paraId="0A1ABC7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1C88BE4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5B36754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服务中的服务规范</w:t>
            </w:r>
          </w:p>
        </w:tc>
        <w:tc>
          <w:tcPr>
            <w:tcW w:w="3257" w:type="dxa"/>
          </w:tcPr>
          <w:p w14:paraId="5C719A4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1）安装过程中发现外包装完好，开箱出现货物内损则第一时间给最终用户换机处理，并报备给万翔客服专员；</w:t>
            </w:r>
          </w:p>
          <w:p w14:paraId="1F247B0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2）检查每台机器的服务编号；</w:t>
            </w:r>
          </w:p>
          <w:p w14:paraId="398CAD3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3) 安装时如果发现设备异常，及时与客户进行沟通，待情况核实清楚后，再行安装； </w:t>
            </w:r>
          </w:p>
          <w:p w14:paraId="11B607B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4）免费提供所有设备的安装调试（包括计算机操作系统及补丁等应用软件安装等服务），安装完成后要开机测试以确保设备能够正常使用；</w:t>
            </w:r>
          </w:p>
          <w:p w14:paraId="195E377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5）协助最终用户安装外设等常用设备。并根据最终用户需求进行设置。</w:t>
            </w:r>
          </w:p>
          <w:p w14:paraId="3B88039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6）安装位置必须保证设备的正常使用，如安装位置与客户要求不符，需要提前与客户沟通并找到适合的解决方案；</w:t>
            </w:r>
          </w:p>
          <w:p w14:paraId="77FF6CD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7）安装务必保障美观，不能出现设备安装歪斜、影响美观或影响设备正常使用等情况；</w:t>
            </w:r>
          </w:p>
          <w:p w14:paraId="408C14D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1787" w:type="dxa"/>
          </w:tcPr>
          <w:p w14:paraId="321E8C3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4D30A8F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34D53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23" w:hRule="atLeast"/>
          <w:jc w:val="center"/>
        </w:trPr>
        <w:tc>
          <w:tcPr>
            <w:tcW w:w="485" w:type="dxa"/>
            <w:noWrap/>
          </w:tcPr>
          <w:p w14:paraId="77985D22">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12</w:t>
            </w:r>
          </w:p>
        </w:tc>
        <w:tc>
          <w:tcPr>
            <w:tcW w:w="852" w:type="dxa"/>
            <w:vMerge w:val="continue"/>
          </w:tcPr>
          <w:p w14:paraId="1732386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6B00AE9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19BE518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服务后的服务规范</w:t>
            </w:r>
          </w:p>
        </w:tc>
        <w:tc>
          <w:tcPr>
            <w:tcW w:w="3257" w:type="dxa"/>
          </w:tcPr>
          <w:p w14:paraId="593F87E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1)安装完毕，应和最终用户一起确认产品的正常运行。</w:t>
            </w:r>
          </w:p>
          <w:p w14:paraId="50264C2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2)安装完毕，并为每台机器注册信息, 应向最终用户详细讲解保修条例；如没有注册信息而导致机器在保修期内无法保修的情况，服务商要负责此维修费用。</w:t>
            </w:r>
          </w:p>
          <w:p w14:paraId="395849D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r>
              <w:rPr>
                <w:rFonts w:hint="eastAsia" w:ascii="宋体" w:hAnsi="宋体" w:eastAsia="宋体" w:cs="宋体"/>
                <w:color w:val="auto"/>
                <w:kern w:val="0"/>
                <w:sz w:val="18"/>
                <w:szCs w:val="18"/>
                <w:highlight w:val="none"/>
              </w:rPr>
              <w:br w:type="page"/>
            </w:r>
          </w:p>
          <w:p w14:paraId="0EBF2C0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4）安装/维修等服务结束后，应把工作现场打扫干净，将工具等物品复位，并将安装/维修过程中产生的垃圾带离现场。</w:t>
            </w:r>
          </w:p>
          <w:p w14:paraId="4BAAA2D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5）安装完毕，应将《厦门市大宗货物政府采购供货验收单》按万翔网商要求打印并交给客户盖章、签字。</w:t>
            </w:r>
            <w:r>
              <w:rPr>
                <w:rFonts w:hint="eastAsia" w:ascii="宋体" w:hAnsi="宋体" w:eastAsia="宋体" w:cs="宋体"/>
                <w:color w:val="auto"/>
                <w:kern w:val="0"/>
                <w:sz w:val="18"/>
                <w:szCs w:val="18"/>
                <w:highlight w:val="none"/>
              </w:rPr>
              <w:br w:type="page"/>
            </w:r>
          </w:p>
        </w:tc>
        <w:tc>
          <w:tcPr>
            <w:tcW w:w="1787" w:type="dxa"/>
          </w:tcPr>
          <w:p w14:paraId="645C3F7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31BF6C9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30A2E1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2" w:hRule="atLeast"/>
          <w:jc w:val="center"/>
        </w:trPr>
        <w:tc>
          <w:tcPr>
            <w:tcW w:w="485" w:type="dxa"/>
            <w:noWrap/>
          </w:tcPr>
          <w:p w14:paraId="6254455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13</w:t>
            </w:r>
          </w:p>
        </w:tc>
        <w:tc>
          <w:tcPr>
            <w:tcW w:w="852" w:type="dxa"/>
            <w:vMerge w:val="continue"/>
          </w:tcPr>
          <w:p w14:paraId="1993FC7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3524F0E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47890D4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服务仪表、态度</w:t>
            </w:r>
          </w:p>
        </w:tc>
        <w:tc>
          <w:tcPr>
            <w:tcW w:w="3257" w:type="dxa"/>
          </w:tcPr>
          <w:p w14:paraId="3D0E410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服务人员着装应规范，言语不生硬、不敷衍、态度好；妥善处理客户的不满情绪；</w:t>
            </w:r>
          </w:p>
        </w:tc>
        <w:tc>
          <w:tcPr>
            <w:tcW w:w="1787" w:type="dxa"/>
          </w:tcPr>
          <w:p w14:paraId="2D969CC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52813D6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41BB3F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33" w:hRule="atLeast"/>
          <w:jc w:val="center"/>
        </w:trPr>
        <w:tc>
          <w:tcPr>
            <w:tcW w:w="485" w:type="dxa"/>
            <w:noWrap/>
          </w:tcPr>
          <w:p w14:paraId="3CF7E8F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14</w:t>
            </w:r>
          </w:p>
        </w:tc>
        <w:tc>
          <w:tcPr>
            <w:tcW w:w="852" w:type="dxa"/>
            <w:vMerge w:val="continue"/>
          </w:tcPr>
          <w:p w14:paraId="2E32FC4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3541884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5631C5B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额外情况规范</w:t>
            </w:r>
          </w:p>
        </w:tc>
        <w:tc>
          <w:tcPr>
            <w:tcW w:w="3257" w:type="dxa"/>
          </w:tcPr>
          <w:p w14:paraId="2BAF32F1">
            <w:pPr>
              <w:keepNext w:val="0"/>
              <w:keepLines w:val="0"/>
              <w:widowControl/>
              <w:suppressLineNumbers w:val="0"/>
              <w:spacing w:before="0" w:beforeAutospacing="0" w:after="24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1）电话联系客户时间及上门服务时间必须在最终用户的正常工作时间内，已提前沟通且客户同意的情况下除外。</w:t>
            </w:r>
          </w:p>
          <w:p w14:paraId="77343D75">
            <w:pPr>
              <w:keepNext w:val="0"/>
              <w:keepLines w:val="0"/>
              <w:widowControl/>
              <w:suppressLineNumbers w:val="0"/>
              <w:spacing w:before="0" w:beforeAutospacing="0" w:after="24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1787" w:type="dxa"/>
          </w:tcPr>
          <w:p w14:paraId="5C01C2D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4A7E8ED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16AC2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2" w:hRule="atLeast"/>
          <w:jc w:val="center"/>
        </w:trPr>
        <w:tc>
          <w:tcPr>
            <w:tcW w:w="485" w:type="dxa"/>
            <w:noWrap/>
          </w:tcPr>
          <w:p w14:paraId="68E0679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15</w:t>
            </w:r>
          </w:p>
        </w:tc>
        <w:tc>
          <w:tcPr>
            <w:tcW w:w="852" w:type="dxa"/>
            <w:vMerge w:val="continue"/>
          </w:tcPr>
          <w:p w14:paraId="2DD7C57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7CA6FE2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4F33433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意外情况规范</w:t>
            </w:r>
          </w:p>
        </w:tc>
        <w:tc>
          <w:tcPr>
            <w:tcW w:w="3257" w:type="dxa"/>
          </w:tcPr>
          <w:p w14:paraId="79614BC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1）服务过程中如有损坏客户物品，应及时与客户沟通赔偿方案，并在约定时间内进行赔偿。</w:t>
            </w:r>
          </w:p>
          <w:p w14:paraId="2EAA5B2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2）安装的设备务必保证使用安全，不能出现在使用过程中掉落等意外情况；</w:t>
            </w:r>
          </w:p>
        </w:tc>
        <w:tc>
          <w:tcPr>
            <w:tcW w:w="1787" w:type="dxa"/>
          </w:tcPr>
          <w:p w14:paraId="23892F0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1B0DEBA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4260AE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13" w:hRule="atLeast"/>
          <w:jc w:val="center"/>
        </w:trPr>
        <w:tc>
          <w:tcPr>
            <w:tcW w:w="485" w:type="dxa"/>
            <w:noWrap/>
          </w:tcPr>
          <w:p w14:paraId="30A3AC6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16</w:t>
            </w:r>
          </w:p>
        </w:tc>
        <w:tc>
          <w:tcPr>
            <w:tcW w:w="852" w:type="dxa"/>
            <w:vMerge w:val="continue"/>
          </w:tcPr>
          <w:p w14:paraId="5B89E70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3A0E672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5E10748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备用机使用</w:t>
            </w:r>
          </w:p>
        </w:tc>
        <w:tc>
          <w:tcPr>
            <w:tcW w:w="3257" w:type="dxa"/>
          </w:tcPr>
          <w:p w14:paraId="2FB0F5F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1787" w:type="dxa"/>
          </w:tcPr>
          <w:p w14:paraId="384CC68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未提供备用机的安装调试等；或者客户机子还未修复好，就要求客户归还备用机</w:t>
            </w:r>
          </w:p>
        </w:tc>
        <w:tc>
          <w:tcPr>
            <w:tcW w:w="2139" w:type="dxa"/>
          </w:tcPr>
          <w:p w14:paraId="4040282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6407E9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28" w:hRule="atLeast"/>
          <w:jc w:val="center"/>
        </w:trPr>
        <w:tc>
          <w:tcPr>
            <w:tcW w:w="485" w:type="dxa"/>
            <w:noWrap/>
          </w:tcPr>
          <w:p w14:paraId="7C3EBAF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17</w:t>
            </w:r>
          </w:p>
        </w:tc>
        <w:tc>
          <w:tcPr>
            <w:tcW w:w="852" w:type="dxa"/>
          </w:tcPr>
          <w:p w14:paraId="7F6C977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服务质量</w:t>
            </w:r>
          </w:p>
        </w:tc>
        <w:tc>
          <w:tcPr>
            <w:tcW w:w="1181" w:type="dxa"/>
          </w:tcPr>
          <w:p w14:paraId="79791C4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服务人员不具备服务能力；</w:t>
            </w:r>
          </w:p>
          <w:p w14:paraId="423EF54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维修后一个月内又出现同样故障、或同一故障频繁重复再现；</w:t>
            </w:r>
          </w:p>
        </w:tc>
        <w:tc>
          <w:tcPr>
            <w:tcW w:w="1038" w:type="dxa"/>
          </w:tcPr>
          <w:p w14:paraId="3AAFA64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客户报修频率</w:t>
            </w:r>
          </w:p>
        </w:tc>
        <w:tc>
          <w:tcPr>
            <w:tcW w:w="3257" w:type="dxa"/>
          </w:tcPr>
          <w:p w14:paraId="6D1494D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1）一个月内再次出现同样故障。或者故障反复出现。</w:t>
            </w:r>
          </w:p>
          <w:p w14:paraId="64C3400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2）明确由于服务引发的产品其他故障。</w:t>
            </w:r>
          </w:p>
          <w:p w14:paraId="7A12847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3）服务人员上门后表示不会安装或维修，或安装/维修操作不熟练。</w:t>
            </w:r>
          </w:p>
        </w:tc>
        <w:tc>
          <w:tcPr>
            <w:tcW w:w="1787" w:type="dxa"/>
          </w:tcPr>
          <w:p w14:paraId="7247E76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262B96C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7A2236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9" w:hRule="atLeast"/>
          <w:jc w:val="center"/>
        </w:trPr>
        <w:tc>
          <w:tcPr>
            <w:tcW w:w="485" w:type="dxa"/>
            <w:noWrap/>
          </w:tcPr>
          <w:p w14:paraId="1415D7E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18</w:t>
            </w:r>
          </w:p>
        </w:tc>
        <w:tc>
          <w:tcPr>
            <w:tcW w:w="852" w:type="dxa"/>
          </w:tcPr>
          <w:p w14:paraId="6827B162">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w:t>
            </w:r>
          </w:p>
        </w:tc>
        <w:tc>
          <w:tcPr>
            <w:tcW w:w="1181" w:type="dxa"/>
          </w:tcPr>
          <w:p w14:paraId="6ED73DE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未按合同规定操作，未提前与最终用户沟通收费标准，多收费或乱收费</w:t>
            </w:r>
          </w:p>
        </w:tc>
        <w:tc>
          <w:tcPr>
            <w:tcW w:w="1038" w:type="dxa"/>
          </w:tcPr>
          <w:p w14:paraId="3BEE86F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收费项目</w:t>
            </w:r>
          </w:p>
        </w:tc>
        <w:tc>
          <w:tcPr>
            <w:tcW w:w="3257" w:type="dxa"/>
          </w:tcPr>
          <w:p w14:paraId="273BFCD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p>
          <w:p w14:paraId="504B7BB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2）报价时应向客户提供清单明细，包括规格型号、单价、数量、总价、保修时间（如有）、保修方式（如有）；</w:t>
            </w:r>
          </w:p>
          <w:p w14:paraId="05197EE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3）提供服务前必须征得最终用户的同意；不能出现服务完成后才告知客户需要收费。</w:t>
            </w:r>
          </w:p>
        </w:tc>
        <w:tc>
          <w:tcPr>
            <w:tcW w:w="1787" w:type="dxa"/>
          </w:tcPr>
          <w:p w14:paraId="12D0FE1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0647021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373CA4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6" w:hRule="atLeast"/>
          <w:jc w:val="center"/>
        </w:trPr>
        <w:tc>
          <w:tcPr>
            <w:tcW w:w="485" w:type="dxa"/>
            <w:noWrap/>
          </w:tcPr>
          <w:p w14:paraId="6888FD8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19</w:t>
            </w:r>
          </w:p>
        </w:tc>
        <w:tc>
          <w:tcPr>
            <w:tcW w:w="852" w:type="dxa"/>
            <w:vMerge w:val="restart"/>
          </w:tcPr>
          <w:p w14:paraId="65126DE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验收报告回收时效</w:t>
            </w:r>
          </w:p>
        </w:tc>
        <w:tc>
          <w:tcPr>
            <w:tcW w:w="1181" w:type="dxa"/>
            <w:vMerge w:val="restart"/>
          </w:tcPr>
          <w:p w14:paraId="41E1492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未按合同规定，安装调试完成后应及时反馈给买方，并按照买方要求由最终用户填写《验收报告》，三个工作日内报送给买方。超过5个工作日仍未回收的，按每逾期一天10元/单的标准加收违约金。</w:t>
            </w:r>
          </w:p>
        </w:tc>
        <w:tc>
          <w:tcPr>
            <w:tcW w:w="1038" w:type="dxa"/>
          </w:tcPr>
          <w:p w14:paraId="0C1FB2D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提供给最终用户验收报告的时效</w:t>
            </w:r>
          </w:p>
        </w:tc>
        <w:tc>
          <w:tcPr>
            <w:tcW w:w="3257" w:type="dxa"/>
          </w:tcPr>
          <w:p w14:paraId="73CCE9C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1）安装完成后及时提供“验收报告”给最终用户，其中“客户联”留给客户，将其他联在2个工作日内（安装调试完毕后，次日算第一天）回收；</w:t>
            </w:r>
          </w:p>
          <w:p w14:paraId="090A6D7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2）如验收报告超出约定时间提供，必须提前与最终用户做好沟通并征得最终用户的同意。</w:t>
            </w:r>
          </w:p>
        </w:tc>
        <w:tc>
          <w:tcPr>
            <w:tcW w:w="1787" w:type="dxa"/>
          </w:tcPr>
          <w:p w14:paraId="766D83D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安装后超过2个工作日客户催验收报告。</w:t>
            </w:r>
          </w:p>
        </w:tc>
        <w:tc>
          <w:tcPr>
            <w:tcW w:w="2139" w:type="dxa"/>
          </w:tcPr>
          <w:p w14:paraId="7B330F8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5C4899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6" w:hRule="atLeast"/>
          <w:jc w:val="center"/>
        </w:trPr>
        <w:tc>
          <w:tcPr>
            <w:tcW w:w="485" w:type="dxa"/>
            <w:noWrap/>
          </w:tcPr>
          <w:p w14:paraId="3647D58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w:t>
            </w:r>
          </w:p>
        </w:tc>
        <w:tc>
          <w:tcPr>
            <w:tcW w:w="852" w:type="dxa"/>
            <w:vMerge w:val="continue"/>
          </w:tcPr>
          <w:p w14:paraId="1748EF3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1E4E5F2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14C7E7C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提供客户签盖的验收报告给万翔</w:t>
            </w:r>
          </w:p>
        </w:tc>
        <w:tc>
          <w:tcPr>
            <w:tcW w:w="3257" w:type="dxa"/>
          </w:tcPr>
          <w:p w14:paraId="614A62D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1787" w:type="dxa"/>
          </w:tcPr>
          <w:p w14:paraId="0D59656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安装后超过5个工作日万翔网商未收到验收报告</w:t>
            </w:r>
          </w:p>
        </w:tc>
        <w:tc>
          <w:tcPr>
            <w:tcW w:w="2139" w:type="dxa"/>
          </w:tcPr>
          <w:p w14:paraId="79ED7F6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78023FC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7987131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21</w:t>
            </w:r>
          </w:p>
        </w:tc>
        <w:tc>
          <w:tcPr>
            <w:tcW w:w="852" w:type="dxa"/>
            <w:vMerge w:val="restart"/>
          </w:tcPr>
          <w:p w14:paraId="0161575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信息反馈</w:t>
            </w:r>
          </w:p>
        </w:tc>
        <w:tc>
          <w:tcPr>
            <w:tcW w:w="1181" w:type="dxa"/>
            <w:vMerge w:val="restart"/>
          </w:tcPr>
          <w:p w14:paraId="7D7E3E4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未按买方要求反馈所需报表，或所提供报表信息存在虚假的问题。</w:t>
            </w:r>
          </w:p>
        </w:tc>
        <w:tc>
          <w:tcPr>
            <w:tcW w:w="1038" w:type="dxa"/>
          </w:tcPr>
          <w:p w14:paraId="482D275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服务商操作平台进度回复</w:t>
            </w:r>
          </w:p>
        </w:tc>
        <w:tc>
          <w:tcPr>
            <w:tcW w:w="3257" w:type="dxa"/>
          </w:tcPr>
          <w:p w14:paraId="0588B28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在收到买方派单后且在服务完成后一个工作日内进行回复</w:t>
            </w:r>
          </w:p>
        </w:tc>
        <w:tc>
          <w:tcPr>
            <w:tcW w:w="1787" w:type="dxa"/>
            <w:noWrap/>
          </w:tcPr>
          <w:p w14:paraId="7FF5341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回复不及时、虚假信息等</w:t>
            </w:r>
          </w:p>
        </w:tc>
        <w:tc>
          <w:tcPr>
            <w:tcW w:w="2139" w:type="dxa"/>
          </w:tcPr>
          <w:p w14:paraId="342FF70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52BFCE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2EEE896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22</w:t>
            </w:r>
          </w:p>
        </w:tc>
        <w:tc>
          <w:tcPr>
            <w:tcW w:w="852" w:type="dxa"/>
            <w:vMerge w:val="continue"/>
          </w:tcPr>
          <w:p w14:paraId="5BA6851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01BA2F1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6897EF5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日常售后回复信息</w:t>
            </w:r>
          </w:p>
        </w:tc>
        <w:tc>
          <w:tcPr>
            <w:tcW w:w="3257" w:type="dxa"/>
          </w:tcPr>
          <w:p w14:paraId="5753E4E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14:paraId="1F217B8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催安装、报修、退换货等售后需求，处理情况虚假等</w:t>
            </w:r>
          </w:p>
        </w:tc>
        <w:tc>
          <w:tcPr>
            <w:tcW w:w="2139" w:type="dxa"/>
          </w:tcPr>
          <w:p w14:paraId="3F6F358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378819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67CE6AF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23</w:t>
            </w:r>
          </w:p>
        </w:tc>
        <w:tc>
          <w:tcPr>
            <w:tcW w:w="852" w:type="dxa"/>
            <w:vMerge w:val="continue"/>
          </w:tcPr>
          <w:p w14:paraId="0FF6F3E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5B0E399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2E27D9D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其他万翔要求提供的信息</w:t>
            </w:r>
          </w:p>
        </w:tc>
        <w:tc>
          <w:tcPr>
            <w:tcW w:w="3257" w:type="dxa"/>
          </w:tcPr>
          <w:p w14:paraId="75E299E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14:paraId="70B85DD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信息虚假等</w:t>
            </w:r>
          </w:p>
        </w:tc>
        <w:tc>
          <w:tcPr>
            <w:tcW w:w="2139" w:type="dxa"/>
          </w:tcPr>
          <w:p w14:paraId="48F8C48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256FB1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37D7A36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24</w:t>
            </w:r>
          </w:p>
        </w:tc>
        <w:tc>
          <w:tcPr>
            <w:tcW w:w="852" w:type="dxa"/>
            <w:vMerge w:val="restart"/>
          </w:tcPr>
          <w:p w14:paraId="208CF97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投诉（根据卖方产品质量、服务造成用户投诉的层级进计收违约金，当投诉涉及多个层级以最高层级计收违约金标准为准）</w:t>
            </w:r>
          </w:p>
        </w:tc>
        <w:tc>
          <w:tcPr>
            <w:tcW w:w="1181" w:type="dxa"/>
          </w:tcPr>
          <w:p w14:paraId="4608115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1、投诉至买方售后服务部门并得以证实                                        </w:t>
            </w:r>
          </w:p>
        </w:tc>
        <w:tc>
          <w:tcPr>
            <w:tcW w:w="1038" w:type="dxa"/>
          </w:tcPr>
          <w:p w14:paraId="306E944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投诉到万翔售后</w:t>
            </w:r>
          </w:p>
        </w:tc>
        <w:tc>
          <w:tcPr>
            <w:tcW w:w="3257" w:type="dxa"/>
          </w:tcPr>
          <w:p w14:paraId="3882CAB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应妥善处理客户不满或者需求，不应让客户向万翔投诉</w:t>
            </w:r>
          </w:p>
        </w:tc>
        <w:tc>
          <w:tcPr>
            <w:tcW w:w="1787" w:type="dxa"/>
            <w:noWrap/>
          </w:tcPr>
          <w:p w14:paraId="49F5E08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14:paraId="118A866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10000元/次</w:t>
            </w:r>
          </w:p>
        </w:tc>
      </w:tr>
      <w:tr w14:paraId="264F9B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4280BDC8">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25</w:t>
            </w:r>
          </w:p>
        </w:tc>
        <w:tc>
          <w:tcPr>
            <w:tcW w:w="852" w:type="dxa"/>
            <w:vMerge w:val="continue"/>
          </w:tcPr>
          <w:p w14:paraId="29505CE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tcPr>
          <w:p w14:paraId="3135B8E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2、投诉至厦门翔业集团内部监管部门并得以证实          </w:t>
            </w:r>
          </w:p>
        </w:tc>
        <w:tc>
          <w:tcPr>
            <w:tcW w:w="1038" w:type="dxa"/>
          </w:tcPr>
          <w:p w14:paraId="21F6B8C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投诉到翔业集团内部监管部门</w:t>
            </w:r>
          </w:p>
        </w:tc>
        <w:tc>
          <w:tcPr>
            <w:tcW w:w="3257" w:type="dxa"/>
          </w:tcPr>
          <w:p w14:paraId="3AA8CE7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应妥善处理客户不满或者需求，不应让客户向翔业集团监管部门投诉</w:t>
            </w:r>
          </w:p>
        </w:tc>
        <w:tc>
          <w:tcPr>
            <w:tcW w:w="1787" w:type="dxa"/>
            <w:noWrap/>
          </w:tcPr>
          <w:p w14:paraId="7494F0F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14:paraId="123016B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20000元/次</w:t>
            </w:r>
          </w:p>
        </w:tc>
      </w:tr>
      <w:tr w14:paraId="1130F1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087EAAC2">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26</w:t>
            </w:r>
          </w:p>
        </w:tc>
        <w:tc>
          <w:tcPr>
            <w:tcW w:w="852" w:type="dxa"/>
            <w:vMerge w:val="continue"/>
          </w:tcPr>
          <w:p w14:paraId="41439D8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tcPr>
          <w:p w14:paraId="51E0692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3、投诉至社会监管部门（如工商局等）并得到证实</w:t>
            </w:r>
          </w:p>
        </w:tc>
        <w:tc>
          <w:tcPr>
            <w:tcW w:w="1038" w:type="dxa"/>
          </w:tcPr>
          <w:p w14:paraId="6359372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投诉到社会监管部门</w:t>
            </w:r>
          </w:p>
        </w:tc>
        <w:tc>
          <w:tcPr>
            <w:tcW w:w="3257" w:type="dxa"/>
          </w:tcPr>
          <w:p w14:paraId="387356C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应妥善处理客户不满或者需求，不应让客户社会监管部门投诉</w:t>
            </w:r>
          </w:p>
        </w:tc>
        <w:tc>
          <w:tcPr>
            <w:tcW w:w="1787" w:type="dxa"/>
          </w:tcPr>
          <w:p w14:paraId="01C5B07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服务商无法取得社会监管部门撤诉</w:t>
            </w:r>
          </w:p>
        </w:tc>
        <w:tc>
          <w:tcPr>
            <w:tcW w:w="2139" w:type="dxa"/>
          </w:tcPr>
          <w:p w14:paraId="7F6C9CD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40000元/次</w:t>
            </w:r>
          </w:p>
        </w:tc>
      </w:tr>
      <w:tr w14:paraId="26A515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54" w:hRule="atLeast"/>
          <w:jc w:val="center"/>
        </w:trPr>
        <w:tc>
          <w:tcPr>
            <w:tcW w:w="485" w:type="dxa"/>
            <w:tcBorders>
              <w:bottom w:val="single" w:color="000000" w:themeColor="text1" w:sz="4" w:space="0"/>
            </w:tcBorders>
            <w:noWrap/>
          </w:tcPr>
          <w:p w14:paraId="138F0CE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27</w:t>
            </w:r>
          </w:p>
        </w:tc>
        <w:tc>
          <w:tcPr>
            <w:tcW w:w="852" w:type="dxa"/>
            <w:vMerge w:val="continue"/>
            <w:tcBorders>
              <w:bottom w:val="single" w:color="000000" w:themeColor="text1" w:sz="4" w:space="0"/>
            </w:tcBorders>
          </w:tcPr>
          <w:p w14:paraId="1E96F72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tcBorders>
              <w:bottom w:val="single" w:color="000000" w:themeColor="text1" w:sz="4" w:space="0"/>
            </w:tcBorders>
          </w:tcPr>
          <w:p w14:paraId="3896A59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4、投诉至社会媒体并被曝光（如报纸、杂志、电视广播、主流官网等）                                       </w:t>
            </w:r>
          </w:p>
        </w:tc>
        <w:tc>
          <w:tcPr>
            <w:tcW w:w="1038" w:type="dxa"/>
            <w:tcBorders>
              <w:bottom w:val="single" w:color="000000" w:themeColor="text1" w:sz="4" w:space="0"/>
            </w:tcBorders>
          </w:tcPr>
          <w:p w14:paraId="20A402B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投诉至社会媒体并被曝光（如报纸、杂志、电视广播、主流官网等）                                       </w:t>
            </w:r>
          </w:p>
        </w:tc>
        <w:tc>
          <w:tcPr>
            <w:tcW w:w="3257" w:type="dxa"/>
            <w:tcBorders>
              <w:bottom w:val="single" w:color="000000" w:themeColor="text1" w:sz="4" w:space="0"/>
            </w:tcBorders>
          </w:tcPr>
          <w:p w14:paraId="1D4C7F0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应妥善处理客户不满或者需求，不应让客户投诉到社会媒体</w:t>
            </w:r>
          </w:p>
        </w:tc>
        <w:tc>
          <w:tcPr>
            <w:tcW w:w="1787" w:type="dxa"/>
            <w:tcBorders>
              <w:bottom w:val="single" w:color="000000" w:themeColor="text1" w:sz="4" w:space="0"/>
            </w:tcBorders>
          </w:tcPr>
          <w:p w14:paraId="0DE6948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报纸、杂志、电视广播、主流官网等曝光了事情</w:t>
            </w:r>
          </w:p>
        </w:tc>
        <w:tc>
          <w:tcPr>
            <w:tcW w:w="2139" w:type="dxa"/>
            <w:tcBorders>
              <w:bottom w:val="single" w:color="000000" w:themeColor="text1" w:sz="4" w:space="0"/>
            </w:tcBorders>
          </w:tcPr>
          <w:p w14:paraId="3912205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200000元/次</w:t>
            </w:r>
          </w:p>
        </w:tc>
      </w:tr>
      <w:tr w14:paraId="58ABF0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jc w:val="center"/>
        </w:trPr>
        <w:tc>
          <w:tcPr>
            <w:tcW w:w="485" w:type="dxa"/>
            <w:shd w:val="clear" w:color="auto" w:fill="auto"/>
          </w:tcPr>
          <w:p w14:paraId="160EE9CC">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28</w:t>
            </w:r>
          </w:p>
        </w:tc>
        <w:tc>
          <w:tcPr>
            <w:tcW w:w="852" w:type="dxa"/>
            <w:shd w:val="clear" w:color="auto" w:fill="auto"/>
          </w:tcPr>
          <w:p w14:paraId="1A7F7D53">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考核违约金缴交或履约保证金扣划</w:t>
            </w:r>
          </w:p>
        </w:tc>
        <w:tc>
          <w:tcPr>
            <w:tcW w:w="1181" w:type="dxa"/>
            <w:shd w:val="clear" w:color="auto" w:fill="auto"/>
          </w:tcPr>
          <w:p w14:paraId="76791A0E">
            <w:pPr>
              <w:keepNext w:val="0"/>
              <w:keepLines w:val="0"/>
              <w:suppressLineNumbers w:val="0"/>
              <w:spacing w:before="0" w:beforeAutospacing="0" w:after="0" w:afterAutospacing="0"/>
              <w:ind w:left="0" w:right="-107" w:rightChars="-51"/>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收到考核表后30个日历日内交清考核款项</w:t>
            </w:r>
          </w:p>
        </w:tc>
        <w:tc>
          <w:tcPr>
            <w:tcW w:w="1038" w:type="dxa"/>
            <w:shd w:val="clear" w:color="auto" w:fill="auto"/>
          </w:tcPr>
          <w:p w14:paraId="00B986A0">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违约金缴交</w:t>
            </w:r>
          </w:p>
        </w:tc>
        <w:tc>
          <w:tcPr>
            <w:tcW w:w="3257" w:type="dxa"/>
            <w:shd w:val="clear" w:color="auto" w:fill="auto"/>
          </w:tcPr>
          <w:p w14:paraId="7B005860">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服务商应在收到万翔网商发出考核表后的30个日历日内交清违约金，交完后将付款情况告知万翔网商对应的采购专员。</w:t>
            </w:r>
          </w:p>
        </w:tc>
        <w:tc>
          <w:tcPr>
            <w:tcW w:w="1787" w:type="dxa"/>
            <w:shd w:val="clear" w:color="auto" w:fill="auto"/>
          </w:tcPr>
          <w:p w14:paraId="41B33776">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未按要求时效和金额缴交违约金</w:t>
            </w:r>
          </w:p>
        </w:tc>
        <w:tc>
          <w:tcPr>
            <w:tcW w:w="2139" w:type="dxa"/>
            <w:shd w:val="clear" w:color="auto" w:fill="auto"/>
          </w:tcPr>
          <w:p w14:paraId="3215585F">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超过30个日历日按双倍计收违约金</w:t>
            </w:r>
          </w:p>
        </w:tc>
      </w:tr>
    </w:tbl>
    <w:p w14:paraId="6ACDFE91">
      <w:pPr>
        <w:ind w:firstLine="480" w:firstLineChars="200"/>
        <w:rPr>
          <w:rFonts w:hint="eastAsia" w:ascii="宋体" w:hAnsi="宋体" w:eastAsia="宋体"/>
          <w:color w:val="auto"/>
          <w:sz w:val="24"/>
          <w:szCs w:val="24"/>
          <w:highlight w:val="none"/>
        </w:rPr>
      </w:pPr>
      <w:r>
        <w:rPr>
          <w:rFonts w:hint="default" w:ascii="宋体" w:hAnsi="宋体" w:eastAsia="宋体"/>
          <w:color w:val="auto"/>
          <w:sz w:val="24"/>
          <w:szCs w:val="24"/>
          <w:highlight w:val="none"/>
          <w:lang w:val="en-US"/>
        </w:rPr>
        <w:t> </w:t>
      </w:r>
      <w:r>
        <w:rPr>
          <w:rFonts w:hint="eastAsia" w:ascii="宋体" w:hAnsi="宋体" w:eastAsia="宋体"/>
          <w:color w:val="auto"/>
          <w:sz w:val="24"/>
          <w:szCs w:val="24"/>
          <w:highlight w:val="none"/>
        </w:rPr>
        <w:fldChar w:fldCharType="end"/>
      </w:r>
      <w:bookmarkEnd w:id="31"/>
    </w:p>
    <w:p w14:paraId="49CFD013">
      <w:pPr>
        <w:rPr>
          <w:rFonts w:ascii="宋体" w:hAnsi="宋体" w:eastAsia="宋体"/>
          <w:color w:val="auto"/>
          <w:sz w:val="24"/>
          <w:szCs w:val="24"/>
          <w:highlight w:val="none"/>
        </w:rPr>
      </w:pPr>
    </w:p>
    <w:p w14:paraId="02693CB1">
      <w:pPr>
        <w:rPr>
          <w:rFonts w:ascii="宋体" w:hAnsi="宋体" w:eastAsia="宋体"/>
          <w:color w:val="auto"/>
          <w:sz w:val="24"/>
          <w:szCs w:val="24"/>
          <w:highlight w:val="none"/>
        </w:rPr>
      </w:pPr>
    </w:p>
    <w:p w14:paraId="197ACB53">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sdt>
      <w:sdtPr>
        <w:rPr>
          <w:rFonts w:hint="eastAsia" w:ascii="宋体" w:hAnsi="宋体" w:eastAsia="宋体" w:cstheme="minorBidi"/>
          <w:b/>
          <w:bCs/>
          <w:color w:val="auto"/>
          <w:kern w:val="2"/>
          <w:sz w:val="24"/>
          <w:szCs w:val="24"/>
          <w:highlight w:val="none"/>
          <w:lang w:val="en-US" w:eastAsia="zh-CN" w:bidi="ar-SA"/>
        </w:rPr>
        <w:id w:val="147458957"/>
        <w:placeholder>
          <w:docPart w:val="{f142fe37-4790-42b4-8a27-76f2004078cc}"/>
        </w:placeholder>
      </w:sdtPr>
      <w:sdtEndPr>
        <w:rPr>
          <w:rFonts w:hint="eastAsia" w:ascii="宋体" w:hAnsi="宋体" w:eastAsia="宋体" w:cs="宋体"/>
          <w:b/>
          <w:bCs/>
          <w:color w:val="auto"/>
          <w:kern w:val="2"/>
          <w:sz w:val="24"/>
          <w:szCs w:val="24"/>
          <w:highlight w:val="none"/>
          <w:lang w:val="en-US" w:eastAsia="zh-CN" w:bidi="ar-SA"/>
        </w:rPr>
      </w:sdtEndPr>
      <w:sdtContent>
        <w:p w14:paraId="3B41A2BE">
          <w:pP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b/>
              <w:bCs/>
              <w:color w:val="auto"/>
              <w:sz w:val="24"/>
              <w:szCs w:val="24"/>
              <w:highlight w:val="none"/>
            </w:rPr>
            <w:t>附件3：</w:t>
          </w:r>
          <w:r>
            <w:rPr>
              <w:rFonts w:hint="eastAsia" w:ascii="宋体" w:hAnsi="宋体" w:eastAsia="宋体" w:cs="宋体"/>
              <w:b/>
              <w:bCs/>
              <w:color w:val="auto"/>
              <w:sz w:val="24"/>
              <w:szCs w:val="24"/>
              <w:highlight w:val="none"/>
            </w:rPr>
            <w:t>安装费用收费标准</w:t>
          </w:r>
        </w:p>
      </w:sdtContent>
    </w:sdt>
    <w:p w14:paraId="77BFCDE6">
      <w:pPr>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fldChar w:fldCharType="begin">
          <w:ffData>
            <w:name w:val="Text5"/>
            <w:enabled/>
            <w:calcOnExit w:val="0"/>
            <w:textInput/>
          </w:ffData>
        </w:fldChar>
      </w:r>
      <w:bookmarkStart w:id="32" w:name="Text5"/>
      <w:r>
        <w:rPr>
          <w:rFonts w:hint="eastAsia" w:ascii="宋体" w:hAnsi="宋体" w:eastAsia="宋体" w:cs="宋体"/>
          <w:b/>
          <w:bCs/>
          <w:color w:val="auto"/>
          <w:kern w:val="2"/>
          <w:sz w:val="24"/>
          <w:szCs w:val="24"/>
          <w:highlight w:val="none"/>
          <w:lang w:val="en-US" w:eastAsia="zh-CN" w:bidi="ar-SA"/>
        </w:rPr>
        <w:instrText xml:space="preserve">FORMTEXT</w:instrText>
      </w:r>
      <w:r>
        <w:rPr>
          <w:rFonts w:hint="eastAsia" w:ascii="宋体" w:hAnsi="宋体" w:eastAsia="宋体" w:cs="宋体"/>
          <w:b/>
          <w:bCs/>
          <w:color w:val="auto"/>
          <w:kern w:val="2"/>
          <w:sz w:val="24"/>
          <w:szCs w:val="24"/>
          <w:highlight w:val="none"/>
          <w:lang w:val="en-US" w:eastAsia="zh-CN" w:bidi="ar-SA"/>
        </w:rPr>
        <w:fldChar w:fldCharType="separate"/>
      </w:r>
      <w:r>
        <w:rPr>
          <w:rFonts w:hint="default" w:ascii="宋体" w:hAnsi="宋体" w:eastAsia="宋体" w:cs="宋体"/>
          <w:b/>
          <w:bCs/>
          <w:color w:val="auto"/>
          <w:kern w:val="2"/>
          <w:sz w:val="24"/>
          <w:szCs w:val="24"/>
          <w:highlight w:val="none"/>
          <w:lang w:val="en-US" w:eastAsia="zh-CN" w:bidi="ar-SA"/>
        </w:rPr>
        <w:t> </w:t>
      </w:r>
    </w:p>
    <w:tbl>
      <w:tblPr>
        <w:tblStyle w:val="12"/>
        <w:tblW w:w="0" w:type="auto"/>
        <w:tblInd w:w="0" w:type="dxa"/>
        <w:tblLayout w:type="fixed"/>
        <w:tblCellMar>
          <w:top w:w="0" w:type="dxa"/>
          <w:left w:w="108" w:type="dxa"/>
          <w:bottom w:w="0" w:type="dxa"/>
          <w:right w:w="108" w:type="dxa"/>
        </w:tblCellMar>
      </w:tblPr>
      <w:tblGrid>
        <w:gridCol w:w="2125"/>
        <w:gridCol w:w="4977"/>
        <w:gridCol w:w="1194"/>
      </w:tblGrid>
      <w:tr w14:paraId="35CED9CB">
        <w:tblPrEx>
          <w:tblCellMar>
            <w:top w:w="0" w:type="dxa"/>
            <w:left w:w="108" w:type="dxa"/>
            <w:bottom w:w="0" w:type="dxa"/>
            <w:right w:w="108" w:type="dxa"/>
          </w:tblCellMar>
        </w:tblPrEx>
        <w:trPr>
          <w:trHeight w:val="555" w:hRule="atLeast"/>
        </w:trPr>
        <w:tc>
          <w:tcPr>
            <w:tcW w:w="2125" w:type="dxa"/>
            <w:tcBorders>
              <w:top w:val="single" w:color="auto" w:sz="4" w:space="0"/>
              <w:left w:val="single" w:color="auto" w:sz="4" w:space="0"/>
              <w:bottom w:val="single" w:color="auto" w:sz="4" w:space="0"/>
              <w:right w:val="single" w:color="auto" w:sz="4" w:space="0"/>
            </w:tcBorders>
            <w:vAlign w:val="center"/>
          </w:tcPr>
          <w:p w14:paraId="3C647FD6">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费用名称</w:t>
            </w:r>
          </w:p>
        </w:tc>
        <w:tc>
          <w:tcPr>
            <w:tcW w:w="4977" w:type="dxa"/>
            <w:tcBorders>
              <w:top w:val="single" w:color="auto" w:sz="4" w:space="0"/>
              <w:left w:val="nil"/>
              <w:bottom w:val="single" w:color="auto" w:sz="4" w:space="0"/>
              <w:right w:val="single" w:color="auto" w:sz="4" w:space="0"/>
            </w:tcBorders>
            <w:vAlign w:val="center"/>
          </w:tcPr>
          <w:p w14:paraId="2D78FCF1">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区域范围</w:t>
            </w:r>
          </w:p>
        </w:tc>
        <w:tc>
          <w:tcPr>
            <w:tcW w:w="1194" w:type="dxa"/>
            <w:tcBorders>
              <w:top w:val="single" w:color="auto" w:sz="4" w:space="0"/>
              <w:left w:val="nil"/>
              <w:bottom w:val="single" w:color="auto" w:sz="4" w:space="0"/>
              <w:right w:val="single" w:color="auto" w:sz="4" w:space="0"/>
            </w:tcBorders>
            <w:vAlign w:val="center"/>
          </w:tcPr>
          <w:p w14:paraId="350B7DC4">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收费标准</w:t>
            </w:r>
          </w:p>
        </w:tc>
      </w:tr>
      <w:tr w14:paraId="3BE697E5">
        <w:tblPrEx>
          <w:tblCellMar>
            <w:top w:w="0" w:type="dxa"/>
            <w:left w:w="108" w:type="dxa"/>
            <w:bottom w:w="0" w:type="dxa"/>
            <w:right w:w="108" w:type="dxa"/>
          </w:tblCellMar>
        </w:tblPrEx>
        <w:trPr>
          <w:trHeight w:val="332" w:hRule="atLeast"/>
        </w:trPr>
        <w:tc>
          <w:tcPr>
            <w:tcW w:w="2125" w:type="dxa"/>
            <w:vMerge w:val="restart"/>
            <w:tcBorders>
              <w:top w:val="nil"/>
              <w:left w:val="single" w:color="auto" w:sz="4" w:space="0"/>
              <w:bottom w:val="single" w:color="auto" w:sz="4" w:space="0"/>
              <w:right w:val="single" w:color="auto" w:sz="4" w:space="0"/>
            </w:tcBorders>
            <w:vAlign w:val="center"/>
          </w:tcPr>
          <w:p w14:paraId="6EB40361">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安装费用</w:t>
            </w:r>
          </w:p>
        </w:tc>
        <w:tc>
          <w:tcPr>
            <w:tcW w:w="4977" w:type="dxa"/>
            <w:tcBorders>
              <w:top w:val="nil"/>
              <w:left w:val="nil"/>
              <w:bottom w:val="single" w:color="auto" w:sz="4" w:space="0"/>
              <w:right w:val="single" w:color="auto" w:sz="4" w:space="0"/>
            </w:tcBorders>
            <w:vAlign w:val="center"/>
          </w:tcPr>
          <w:p w14:paraId="29EB8638">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厦门市全区、福州市区内、莆田市区内、泉州市区内、漳州市区内、龙岩市区内、三明市区内、南平市区内和宁德市区内（福建省各地市区外划分详见该表格备注栏）</w:t>
            </w:r>
          </w:p>
        </w:tc>
        <w:tc>
          <w:tcPr>
            <w:tcW w:w="1194" w:type="dxa"/>
            <w:tcBorders>
              <w:top w:val="nil"/>
              <w:left w:val="nil"/>
              <w:bottom w:val="single" w:color="auto" w:sz="4" w:space="0"/>
              <w:right w:val="single" w:color="auto" w:sz="4" w:space="0"/>
            </w:tcBorders>
            <w:vAlign w:val="center"/>
          </w:tcPr>
          <w:p w14:paraId="092B75B6">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免费</w:t>
            </w:r>
          </w:p>
        </w:tc>
      </w:tr>
      <w:tr w14:paraId="59794B93">
        <w:tblPrEx>
          <w:tblCellMar>
            <w:top w:w="0" w:type="dxa"/>
            <w:left w:w="108" w:type="dxa"/>
            <w:bottom w:w="0" w:type="dxa"/>
            <w:right w:w="108" w:type="dxa"/>
          </w:tblCellMar>
        </w:tblPrEx>
        <w:trPr>
          <w:trHeight w:val="332" w:hRule="atLeast"/>
        </w:trPr>
        <w:tc>
          <w:tcPr>
            <w:tcW w:w="2125" w:type="dxa"/>
            <w:vMerge w:val="continue"/>
            <w:tcBorders>
              <w:top w:val="nil"/>
              <w:left w:val="single" w:color="auto" w:sz="4" w:space="0"/>
              <w:bottom w:val="single" w:color="auto" w:sz="4" w:space="0"/>
              <w:right w:val="single" w:color="auto" w:sz="4" w:space="0"/>
            </w:tcBorders>
            <w:vAlign w:val="center"/>
          </w:tcPr>
          <w:p w14:paraId="6D8ACA92">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4977" w:type="dxa"/>
            <w:tcBorders>
              <w:top w:val="nil"/>
              <w:left w:val="nil"/>
              <w:bottom w:val="single" w:color="auto" w:sz="4" w:space="0"/>
              <w:right w:val="single" w:color="auto" w:sz="4" w:space="0"/>
            </w:tcBorders>
            <w:vAlign w:val="center"/>
          </w:tcPr>
          <w:p w14:paraId="3CBB98B8">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福州市区外、莆田市区外、泉州市区外、漳州市区外、龙岩市区外、三明市区外、南平市区外和宁德市区外（福建省各地市区外划分详见该表格备注栏）</w:t>
            </w:r>
          </w:p>
        </w:tc>
        <w:tc>
          <w:tcPr>
            <w:tcW w:w="1194" w:type="dxa"/>
            <w:tcBorders>
              <w:top w:val="nil"/>
              <w:left w:val="nil"/>
              <w:bottom w:val="single" w:color="auto" w:sz="4" w:space="0"/>
              <w:right w:val="single" w:color="auto" w:sz="4" w:space="0"/>
            </w:tcBorders>
            <w:vAlign w:val="center"/>
          </w:tcPr>
          <w:p w14:paraId="5493A342">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元/台</w:t>
            </w:r>
          </w:p>
        </w:tc>
      </w:tr>
      <w:tr w14:paraId="4EF7EFE3">
        <w:tblPrEx>
          <w:tblCellMar>
            <w:top w:w="0" w:type="dxa"/>
            <w:left w:w="108" w:type="dxa"/>
            <w:bottom w:w="0" w:type="dxa"/>
            <w:right w:w="108" w:type="dxa"/>
          </w:tblCellMar>
        </w:tblPrEx>
        <w:trPr>
          <w:trHeight w:val="1140" w:hRule="atLeast"/>
        </w:trPr>
        <w:tc>
          <w:tcPr>
            <w:tcW w:w="8296" w:type="dxa"/>
            <w:gridSpan w:val="3"/>
            <w:tcBorders>
              <w:top w:val="single" w:color="auto" w:sz="4" w:space="0"/>
              <w:left w:val="single" w:color="auto" w:sz="4" w:space="0"/>
              <w:bottom w:val="single" w:color="auto" w:sz="4" w:space="0"/>
              <w:right w:val="single" w:color="auto" w:sz="4" w:space="0"/>
            </w:tcBorders>
            <w:vAlign w:val="center"/>
          </w:tcPr>
          <w:p w14:paraId="6E1905F5">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备注：福建省各地市的区内/区外划分</w:t>
            </w:r>
          </w:p>
          <w:tbl>
            <w:tblPr>
              <w:tblStyle w:val="12"/>
              <w:tblW w:w="0" w:type="auto"/>
              <w:tblInd w:w="0" w:type="dxa"/>
              <w:tblLayout w:type="fixed"/>
              <w:tblCellMar>
                <w:top w:w="0" w:type="dxa"/>
                <w:left w:w="108" w:type="dxa"/>
                <w:bottom w:w="0" w:type="dxa"/>
                <w:right w:w="108" w:type="dxa"/>
              </w:tblCellMar>
            </w:tblPr>
            <w:tblGrid>
              <w:gridCol w:w="1014"/>
              <w:gridCol w:w="993"/>
              <w:gridCol w:w="6053"/>
            </w:tblGrid>
            <w:tr w14:paraId="5B629934">
              <w:tblPrEx>
                <w:tblCellMar>
                  <w:top w:w="0" w:type="dxa"/>
                  <w:left w:w="108" w:type="dxa"/>
                  <w:bottom w:w="0" w:type="dxa"/>
                  <w:right w:w="108" w:type="dxa"/>
                </w:tblCellMar>
              </w:tblPrEx>
              <w:trPr>
                <w:trHeight w:val="375"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4446AA2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厦门</w:t>
                  </w:r>
                </w:p>
              </w:tc>
              <w:tc>
                <w:tcPr>
                  <w:tcW w:w="993" w:type="dxa"/>
                  <w:tcBorders>
                    <w:top w:val="single" w:color="auto" w:sz="8" w:space="0"/>
                    <w:left w:val="nil"/>
                    <w:bottom w:val="single" w:color="auto" w:sz="8" w:space="0"/>
                    <w:right w:val="single" w:color="auto" w:sz="8" w:space="0"/>
                  </w:tcBorders>
                  <w:vAlign w:val="center"/>
                </w:tcPr>
                <w:p w14:paraId="6D41F3E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岛内</w:t>
                  </w:r>
                </w:p>
              </w:tc>
              <w:tc>
                <w:tcPr>
                  <w:tcW w:w="6053" w:type="dxa"/>
                  <w:tcBorders>
                    <w:top w:val="single" w:color="auto" w:sz="8" w:space="0"/>
                    <w:left w:val="nil"/>
                    <w:bottom w:val="single" w:color="auto" w:sz="8" w:space="0"/>
                    <w:right w:val="single" w:color="auto" w:sz="8" w:space="0"/>
                  </w:tcBorders>
                  <w:vAlign w:val="center"/>
                </w:tcPr>
                <w:p w14:paraId="361E21FD">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思明区、湖里区</w:t>
                  </w:r>
                </w:p>
              </w:tc>
            </w:tr>
            <w:tr w14:paraId="11A5A766">
              <w:tblPrEx>
                <w:tblCellMar>
                  <w:top w:w="0" w:type="dxa"/>
                  <w:left w:w="108" w:type="dxa"/>
                  <w:bottom w:w="0" w:type="dxa"/>
                  <w:right w:w="108" w:type="dxa"/>
                </w:tblCellMar>
              </w:tblPrEx>
              <w:trPr>
                <w:trHeight w:val="40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03F094C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Cs w:val="21"/>
                      <w:highlight w:val="none"/>
                    </w:rPr>
                  </w:pPr>
                </w:p>
              </w:tc>
              <w:tc>
                <w:tcPr>
                  <w:tcW w:w="993" w:type="dxa"/>
                  <w:tcBorders>
                    <w:top w:val="single" w:color="auto" w:sz="8" w:space="0"/>
                    <w:left w:val="nil"/>
                    <w:bottom w:val="single" w:color="auto" w:sz="8" w:space="0"/>
                    <w:right w:val="single" w:color="auto" w:sz="8" w:space="0"/>
                  </w:tcBorders>
                  <w:vAlign w:val="center"/>
                </w:tcPr>
                <w:p w14:paraId="6C08678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岛外</w:t>
                  </w:r>
                </w:p>
              </w:tc>
              <w:tc>
                <w:tcPr>
                  <w:tcW w:w="6053" w:type="dxa"/>
                  <w:tcBorders>
                    <w:top w:val="single" w:color="auto" w:sz="8" w:space="0"/>
                    <w:left w:val="nil"/>
                    <w:bottom w:val="single" w:color="auto" w:sz="8" w:space="0"/>
                    <w:right w:val="single" w:color="auto" w:sz="8" w:space="0"/>
                  </w:tcBorders>
                  <w:vAlign w:val="center"/>
                </w:tcPr>
                <w:p w14:paraId="783448C2">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海沧区、集美区、同安区、翔安区等厦门市非岛内范围</w:t>
                  </w:r>
                </w:p>
              </w:tc>
            </w:tr>
            <w:tr w14:paraId="7456DC8B">
              <w:tblPrEx>
                <w:tblCellMar>
                  <w:top w:w="0" w:type="dxa"/>
                  <w:left w:w="108" w:type="dxa"/>
                  <w:bottom w:w="0" w:type="dxa"/>
                  <w:right w:w="108" w:type="dxa"/>
                </w:tblCellMar>
              </w:tblPrEx>
              <w:trPr>
                <w:trHeight w:val="310"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70F7FBB1">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福州市</w:t>
                  </w:r>
                </w:p>
              </w:tc>
              <w:tc>
                <w:tcPr>
                  <w:tcW w:w="993" w:type="dxa"/>
                  <w:tcBorders>
                    <w:top w:val="single" w:color="auto" w:sz="8" w:space="0"/>
                    <w:left w:val="nil"/>
                    <w:bottom w:val="single" w:color="auto" w:sz="8" w:space="0"/>
                    <w:right w:val="single" w:color="auto" w:sz="8" w:space="0"/>
                  </w:tcBorders>
                  <w:vAlign w:val="center"/>
                </w:tcPr>
                <w:p w14:paraId="436C3D20">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single" w:color="auto" w:sz="8" w:space="0"/>
                    <w:left w:val="nil"/>
                    <w:bottom w:val="single" w:color="auto" w:sz="8" w:space="0"/>
                    <w:right w:val="single" w:color="auto" w:sz="8" w:space="0"/>
                  </w:tcBorders>
                  <w:vAlign w:val="center"/>
                </w:tcPr>
                <w:p w14:paraId="57A90E7F">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鼓楼区、台江区、仓山区、晋安区、马尾区</w:t>
                  </w:r>
                </w:p>
              </w:tc>
            </w:tr>
            <w:tr w14:paraId="44099BE8">
              <w:tblPrEx>
                <w:tblCellMar>
                  <w:top w:w="0" w:type="dxa"/>
                  <w:left w:w="108" w:type="dxa"/>
                  <w:bottom w:w="0" w:type="dxa"/>
                  <w:right w:w="108" w:type="dxa"/>
                </w:tblCellMar>
              </w:tblPrEx>
              <w:trPr>
                <w:trHeight w:val="61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6F6CC7FB">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618607E5">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5E1F4D28">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福清市、长乐市、闽侯县、连江县、罗源县、闽清县、永泰县、平潭县等福州市非区内范围</w:t>
                  </w:r>
                </w:p>
              </w:tc>
            </w:tr>
            <w:tr w14:paraId="254E50D5">
              <w:tblPrEx>
                <w:tblCellMar>
                  <w:top w:w="0" w:type="dxa"/>
                  <w:left w:w="108" w:type="dxa"/>
                  <w:bottom w:w="0" w:type="dxa"/>
                  <w:right w:w="108" w:type="dxa"/>
                </w:tblCellMar>
              </w:tblPrEx>
              <w:trPr>
                <w:trHeight w:val="390" w:hRule="atLeast"/>
              </w:trPr>
              <w:tc>
                <w:tcPr>
                  <w:tcW w:w="1014" w:type="dxa"/>
                  <w:vMerge w:val="restart"/>
                  <w:tcBorders>
                    <w:top w:val="nil"/>
                    <w:left w:val="single" w:color="auto" w:sz="8" w:space="0"/>
                    <w:bottom w:val="single" w:color="auto" w:sz="8" w:space="0"/>
                    <w:right w:val="single" w:color="auto" w:sz="8" w:space="0"/>
                  </w:tcBorders>
                  <w:vAlign w:val="center"/>
                </w:tcPr>
                <w:p w14:paraId="0084163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莆田市</w:t>
                  </w:r>
                </w:p>
              </w:tc>
              <w:tc>
                <w:tcPr>
                  <w:tcW w:w="993" w:type="dxa"/>
                  <w:tcBorders>
                    <w:top w:val="nil"/>
                    <w:left w:val="nil"/>
                    <w:bottom w:val="single" w:color="auto" w:sz="8" w:space="0"/>
                    <w:right w:val="single" w:color="auto" w:sz="8" w:space="0"/>
                  </w:tcBorders>
                  <w:vAlign w:val="center"/>
                </w:tcPr>
                <w:p w14:paraId="1406AA9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1D80663B">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城厢区、荔城区、涵江区</w:t>
                  </w:r>
                </w:p>
              </w:tc>
            </w:tr>
            <w:tr w14:paraId="1AE76B7D">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0ECC3B03">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548A53BF">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1A16B2B6">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秀屿区、湄洲岛、仙游县、湄洲湾北岸开发区等莆田市非区内范围</w:t>
                  </w:r>
                </w:p>
              </w:tc>
            </w:tr>
            <w:tr w14:paraId="40B4DCCA">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72726835">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泉州市</w:t>
                  </w:r>
                </w:p>
              </w:tc>
              <w:tc>
                <w:tcPr>
                  <w:tcW w:w="993" w:type="dxa"/>
                  <w:tcBorders>
                    <w:top w:val="nil"/>
                    <w:left w:val="nil"/>
                    <w:bottom w:val="single" w:color="auto" w:sz="8" w:space="0"/>
                    <w:right w:val="single" w:color="auto" w:sz="8" w:space="0"/>
                  </w:tcBorders>
                  <w:vAlign w:val="center"/>
                </w:tcPr>
                <w:p w14:paraId="75FF0BE1">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171CC176">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鲤城区、丰泽区、洛江区、泉港区</w:t>
                  </w:r>
                </w:p>
              </w:tc>
            </w:tr>
            <w:tr w14:paraId="247C7D3E">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470F0744">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6CDC7D08">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39DADC6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晋江市、石狮市、南安市、惠安县、安溪县、永春县、德化县等泉州市非区内范围</w:t>
                  </w:r>
                </w:p>
              </w:tc>
            </w:tr>
            <w:tr w14:paraId="24951FF4">
              <w:tblPrEx>
                <w:tblCellMar>
                  <w:top w:w="0" w:type="dxa"/>
                  <w:left w:w="108" w:type="dxa"/>
                  <w:bottom w:w="0" w:type="dxa"/>
                  <w:right w:w="108" w:type="dxa"/>
                </w:tblCellMar>
              </w:tblPrEx>
              <w:trPr>
                <w:trHeight w:val="405" w:hRule="atLeast"/>
              </w:trPr>
              <w:tc>
                <w:tcPr>
                  <w:tcW w:w="1014" w:type="dxa"/>
                  <w:vMerge w:val="restart"/>
                  <w:tcBorders>
                    <w:top w:val="nil"/>
                    <w:left w:val="single" w:color="auto" w:sz="8" w:space="0"/>
                    <w:bottom w:val="single" w:color="auto" w:sz="8" w:space="0"/>
                    <w:right w:val="single" w:color="auto" w:sz="8" w:space="0"/>
                  </w:tcBorders>
                  <w:vAlign w:val="center"/>
                </w:tcPr>
                <w:p w14:paraId="3878598D">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漳州市</w:t>
                  </w:r>
                </w:p>
              </w:tc>
              <w:tc>
                <w:tcPr>
                  <w:tcW w:w="993" w:type="dxa"/>
                  <w:tcBorders>
                    <w:top w:val="nil"/>
                    <w:left w:val="nil"/>
                    <w:bottom w:val="single" w:color="auto" w:sz="8" w:space="0"/>
                    <w:right w:val="single" w:color="auto" w:sz="8" w:space="0"/>
                  </w:tcBorders>
                  <w:vAlign w:val="center"/>
                </w:tcPr>
                <w:p w14:paraId="4B5D0197">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7A8A8DD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芗城区、龙文区</w:t>
                  </w:r>
                  <w:r>
                    <w:rPr>
                      <w:rFonts w:hint="eastAsia" w:asciiTheme="minorEastAsia" w:hAnsiTheme="minorEastAsia" w:eastAsiaTheme="minorEastAsia" w:cstheme="minorEastAsia"/>
                      <w:b/>
                      <w:color w:val="auto"/>
                      <w:kern w:val="0"/>
                      <w:sz w:val="21"/>
                      <w:szCs w:val="21"/>
                      <w:highlight w:val="none"/>
                      <w:lang w:eastAsia="zh-CN"/>
                    </w:rPr>
                    <w:t>、</w:t>
                  </w:r>
                  <w:r>
                    <w:rPr>
                      <w:rFonts w:hint="eastAsia" w:asciiTheme="minorEastAsia" w:hAnsiTheme="minorEastAsia" w:eastAsiaTheme="minorEastAsia" w:cstheme="minorEastAsia"/>
                      <w:b/>
                      <w:color w:val="auto"/>
                      <w:kern w:val="0"/>
                      <w:sz w:val="21"/>
                      <w:szCs w:val="21"/>
                      <w:highlight w:val="none"/>
                    </w:rPr>
                    <w:t>龙海区、长泰区</w:t>
                  </w:r>
                </w:p>
              </w:tc>
            </w:tr>
            <w:tr w14:paraId="159C2E2E">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6845344D">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44A994C5">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1F9583CB">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云霄县、漳浦县、诏安县、东山县、南靖县、平和县、华安县等漳州市非区内范围</w:t>
                  </w:r>
                </w:p>
              </w:tc>
            </w:tr>
            <w:tr w14:paraId="2B99E5ED">
              <w:tblPrEx>
                <w:tblCellMar>
                  <w:top w:w="0" w:type="dxa"/>
                  <w:left w:w="108" w:type="dxa"/>
                  <w:bottom w:w="0" w:type="dxa"/>
                  <w:right w:w="108" w:type="dxa"/>
                </w:tblCellMar>
              </w:tblPrEx>
              <w:trPr>
                <w:trHeight w:val="285" w:hRule="atLeast"/>
              </w:trPr>
              <w:tc>
                <w:tcPr>
                  <w:tcW w:w="1014" w:type="dxa"/>
                  <w:vMerge w:val="restart"/>
                  <w:tcBorders>
                    <w:top w:val="nil"/>
                    <w:left w:val="single" w:color="auto" w:sz="8" w:space="0"/>
                    <w:bottom w:val="single" w:color="auto" w:sz="8" w:space="0"/>
                    <w:right w:val="single" w:color="auto" w:sz="8" w:space="0"/>
                  </w:tcBorders>
                  <w:vAlign w:val="center"/>
                </w:tcPr>
                <w:p w14:paraId="73618B4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龙岩市</w:t>
                  </w:r>
                </w:p>
              </w:tc>
              <w:tc>
                <w:tcPr>
                  <w:tcW w:w="993" w:type="dxa"/>
                  <w:tcBorders>
                    <w:top w:val="nil"/>
                    <w:left w:val="nil"/>
                    <w:bottom w:val="single" w:color="auto" w:sz="8" w:space="0"/>
                    <w:right w:val="single" w:color="auto" w:sz="8" w:space="0"/>
                  </w:tcBorders>
                  <w:vAlign w:val="center"/>
                </w:tcPr>
                <w:p w14:paraId="7B403EFF">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014DFEC8">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新罗区</w:t>
                  </w:r>
                </w:p>
              </w:tc>
            </w:tr>
            <w:tr w14:paraId="214CF994">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0AD60D90">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2CDEC238">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54B402BF">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永定区、长汀县、连城县、上杭县、武平县等龙岩市非区内范围</w:t>
                  </w:r>
                </w:p>
              </w:tc>
            </w:tr>
            <w:tr w14:paraId="2115D587">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740BCCFA">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三明市</w:t>
                  </w:r>
                </w:p>
              </w:tc>
              <w:tc>
                <w:tcPr>
                  <w:tcW w:w="993" w:type="dxa"/>
                  <w:tcBorders>
                    <w:top w:val="nil"/>
                    <w:left w:val="nil"/>
                    <w:bottom w:val="single" w:color="auto" w:sz="8" w:space="0"/>
                    <w:right w:val="single" w:color="auto" w:sz="8" w:space="0"/>
                  </w:tcBorders>
                  <w:vAlign w:val="center"/>
                </w:tcPr>
                <w:p w14:paraId="5DCB07B6">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4D01ED80">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梅列区、三元区</w:t>
                  </w:r>
                </w:p>
              </w:tc>
            </w:tr>
            <w:tr w14:paraId="2A3CE7EE">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1891ADE8">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0358600C">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6C13D0A3">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永安市、沙县、尤溪县、大田县、明溪县、清流县、宁化县、将乐县、泰宁县、建宁县等三明市非区内范围</w:t>
                  </w:r>
                </w:p>
              </w:tc>
            </w:tr>
            <w:tr w14:paraId="796027AC">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2114B0E8">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南平市</w:t>
                  </w:r>
                </w:p>
              </w:tc>
              <w:tc>
                <w:tcPr>
                  <w:tcW w:w="993" w:type="dxa"/>
                  <w:tcBorders>
                    <w:top w:val="nil"/>
                    <w:left w:val="nil"/>
                    <w:bottom w:val="single" w:color="auto" w:sz="8" w:space="0"/>
                    <w:right w:val="single" w:color="auto" w:sz="8" w:space="0"/>
                  </w:tcBorders>
                  <w:vAlign w:val="center"/>
                </w:tcPr>
                <w:p w14:paraId="47689BC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6A7BC027">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延平区</w:t>
                  </w:r>
                </w:p>
              </w:tc>
            </w:tr>
            <w:tr w14:paraId="3EFD66BC">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46737BB8">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79F9E07F">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388AAE2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顺昌县、建瓯市、邵武市、建阳区、政和县、松溪县、浦城县、武夷山市、光泽县等南平市非区内范围</w:t>
                  </w:r>
                </w:p>
              </w:tc>
            </w:tr>
            <w:tr w14:paraId="31AE9258">
              <w:tblPrEx>
                <w:tblCellMar>
                  <w:top w:w="0" w:type="dxa"/>
                  <w:left w:w="108" w:type="dxa"/>
                  <w:bottom w:w="0" w:type="dxa"/>
                  <w:right w:w="108" w:type="dxa"/>
                </w:tblCellMar>
              </w:tblPrEx>
              <w:trPr>
                <w:trHeight w:val="375" w:hRule="atLeast"/>
              </w:trPr>
              <w:tc>
                <w:tcPr>
                  <w:tcW w:w="1014" w:type="dxa"/>
                  <w:vMerge w:val="restart"/>
                  <w:tcBorders>
                    <w:top w:val="nil"/>
                    <w:left w:val="single" w:color="auto" w:sz="8" w:space="0"/>
                    <w:bottom w:val="single" w:color="auto" w:sz="8" w:space="0"/>
                    <w:right w:val="single" w:color="auto" w:sz="8" w:space="0"/>
                  </w:tcBorders>
                  <w:vAlign w:val="center"/>
                </w:tcPr>
                <w:p w14:paraId="02A6E2B6">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宁德市</w:t>
                  </w:r>
                </w:p>
              </w:tc>
              <w:tc>
                <w:tcPr>
                  <w:tcW w:w="993" w:type="dxa"/>
                  <w:tcBorders>
                    <w:top w:val="nil"/>
                    <w:left w:val="nil"/>
                    <w:bottom w:val="single" w:color="auto" w:sz="8" w:space="0"/>
                    <w:right w:val="single" w:color="auto" w:sz="8" w:space="0"/>
                  </w:tcBorders>
                  <w:vAlign w:val="center"/>
                </w:tcPr>
                <w:p w14:paraId="3B4A1C55">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34431511">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蕉城区、东侨新区</w:t>
                  </w:r>
                </w:p>
              </w:tc>
            </w:tr>
            <w:tr w14:paraId="7DC8B744">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02AB454C">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1768DDE4">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314C034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福安市、福鼎市、霞浦县、古田县、屏南县、寿宁县、周宁县、柘荣县等宁德市非区内范围</w:t>
                  </w:r>
                </w:p>
              </w:tc>
            </w:tr>
          </w:tbl>
          <w:p w14:paraId="15A59516">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p>
        </w:tc>
      </w:tr>
    </w:tbl>
    <w:p w14:paraId="32440EFD">
      <w:pPr>
        <w:rPr>
          <w:rFonts w:hint="eastAsia" w:ascii="宋体" w:hAnsi="宋体" w:eastAsia="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  </w:t>
      </w:r>
      <w:r>
        <w:rPr>
          <w:rFonts w:hint="eastAsia" w:ascii="宋体" w:hAnsi="宋体" w:eastAsia="宋体" w:cs="宋体"/>
          <w:b/>
          <w:bCs/>
          <w:color w:val="auto"/>
          <w:kern w:val="2"/>
          <w:sz w:val="24"/>
          <w:szCs w:val="24"/>
          <w:highlight w:val="none"/>
          <w:lang w:val="en-US" w:eastAsia="zh-CN" w:bidi="ar-SA"/>
        </w:rPr>
        <w:fldChar w:fldCharType="end"/>
      </w:r>
      <w:bookmarkEnd w:id="32"/>
    </w:p>
    <w:p w14:paraId="2AD6C153">
      <w:pPr>
        <w:rPr>
          <w:rFonts w:ascii="宋体" w:hAnsi="宋体" w:eastAsia="宋体"/>
          <w:color w:val="auto"/>
          <w:sz w:val="24"/>
          <w:szCs w:val="24"/>
          <w:highlight w:val="none"/>
        </w:rPr>
      </w:pPr>
    </w:p>
    <w:p w14:paraId="72796C2E">
      <w:pPr>
        <w:rPr>
          <w:rFonts w:ascii="宋体" w:hAnsi="宋体" w:eastAsia="宋体"/>
          <w:color w:val="auto"/>
          <w:highlight w:val="none"/>
        </w:rPr>
      </w:pPr>
    </w:p>
    <w:p w14:paraId="2A1D5CA7">
      <w:pPr>
        <w:rPr>
          <w:rFonts w:ascii="宋体" w:hAnsi="宋体" w:eastAsia="宋体"/>
          <w:color w:val="auto"/>
          <w:highlight w:val="none"/>
        </w:rPr>
        <w:sectPr>
          <w:pgSz w:w="11906" w:h="16838"/>
          <w:pgMar w:top="1440" w:right="1800" w:bottom="1440" w:left="1800" w:header="851" w:footer="992" w:gutter="0"/>
          <w:cols w:space="425" w:num="1"/>
          <w:docGrid w:type="lines" w:linePitch="312" w:charSpace="0"/>
        </w:sectPr>
      </w:pPr>
    </w:p>
    <w:sdt>
      <w:sdtPr>
        <w:rPr>
          <w:rFonts w:hint="eastAsia" w:ascii="宋体" w:hAnsi="宋体" w:eastAsia="宋体" w:cstheme="minorBidi"/>
          <w:b/>
          <w:bCs/>
          <w:color w:val="auto"/>
          <w:kern w:val="2"/>
          <w:sz w:val="24"/>
          <w:szCs w:val="24"/>
          <w:highlight w:val="none"/>
          <w:lang w:val="en-US" w:eastAsia="zh-CN" w:bidi="ar-SA"/>
        </w:rPr>
        <w:id w:val="147458863"/>
        <w:placeholder>
          <w:docPart w:val="{6fce1a6e-d6d4-4197-986a-859d1af46239}"/>
        </w:placeholder>
      </w:sdtPr>
      <w:sdtEndPr>
        <w:rPr>
          <w:rFonts w:hint="eastAsia" w:ascii="宋体" w:hAnsi="宋体" w:eastAsia="宋体" w:cstheme="minorBidi"/>
          <w:b/>
          <w:bCs/>
          <w:color w:val="auto"/>
          <w:kern w:val="2"/>
          <w:sz w:val="24"/>
          <w:szCs w:val="24"/>
          <w:highlight w:val="none"/>
          <w:lang w:val="en-US" w:eastAsia="zh-CN" w:bidi="ar-SA"/>
        </w:rPr>
      </w:sdtEndPr>
      <w:sdtContent>
        <w:p w14:paraId="2C22FE73">
          <w:pPr>
            <w:spacing w:line="360" w:lineRule="auto"/>
            <w:rPr>
              <w:rFonts w:ascii="宋体" w:hAnsi="宋体" w:eastAsia="宋体"/>
              <w:b/>
              <w:bCs/>
              <w:color w:val="auto"/>
              <w:sz w:val="24"/>
              <w:szCs w:val="24"/>
              <w:highlight w:val="none"/>
            </w:rPr>
          </w:pPr>
          <w:bookmarkStart w:id="33" w:name="_Hlk97132415"/>
          <w:r>
            <w:rPr>
              <w:rFonts w:hint="eastAsia" w:ascii="宋体" w:hAnsi="宋体" w:eastAsia="宋体"/>
              <w:b/>
              <w:bCs/>
              <w:color w:val="auto"/>
              <w:sz w:val="24"/>
              <w:szCs w:val="24"/>
              <w:highlight w:val="none"/>
            </w:rPr>
            <w:t>附件4：定货单样单</w:t>
          </w:r>
        </w:p>
      </w:sdtContent>
    </w:sdt>
    <w:sdt>
      <w:sdtPr>
        <w:rPr>
          <w:rFonts w:hint="eastAsia" w:ascii="宋体" w:hAnsi="宋体" w:eastAsiaTheme="minorEastAsia" w:cstheme="minorBidi"/>
          <w:b/>
          <w:bCs/>
          <w:color w:val="auto"/>
          <w:kern w:val="2"/>
          <w:sz w:val="32"/>
          <w:szCs w:val="32"/>
          <w:highlight w:val="none"/>
          <w:lang w:val="en-US" w:eastAsia="zh-CN" w:bidi="ar-SA"/>
        </w:rPr>
        <w:id w:val="147458797"/>
        <w:placeholder>
          <w:docPart w:val="{2fb4a94f-8140-4977-985e-a3ba7204146b}"/>
        </w:placeholder>
      </w:sdtPr>
      <w:sdtEndPr>
        <w:rPr>
          <w:rFonts w:hint="eastAsia" w:ascii="宋体" w:hAnsi="宋体" w:cs="宋体" w:eastAsiaTheme="minorEastAsia"/>
          <w:b/>
          <w:bCs/>
          <w:color w:val="auto"/>
          <w:kern w:val="2"/>
          <w:sz w:val="24"/>
          <w:szCs w:val="22"/>
          <w:highlight w:val="none"/>
          <w:lang w:val="en-US" w:eastAsia="zh-CN" w:bidi="ar-SA"/>
        </w:rPr>
      </w:sdtEndPr>
      <w:sdtContent>
        <w:p w14:paraId="027E12ED">
          <w:pPr>
            <w:jc w:val="center"/>
            <w:rPr>
              <w:rFonts w:ascii="宋体" w:hAnsi="宋体"/>
              <w:b/>
              <w:bCs/>
              <w:color w:val="auto"/>
              <w:sz w:val="32"/>
              <w:szCs w:val="32"/>
              <w:highlight w:val="none"/>
            </w:rPr>
          </w:pPr>
          <w:r>
            <w:rPr>
              <w:rFonts w:hint="eastAsia" w:ascii="宋体" w:hAnsi="宋体"/>
              <w:b/>
              <w:bCs/>
              <w:color w:val="auto"/>
              <w:sz w:val="32"/>
              <w:szCs w:val="32"/>
              <w:highlight w:val="none"/>
            </w:rPr>
            <w:t>定货单</w:t>
          </w:r>
        </w:p>
        <w:bookmarkEnd w:id="33"/>
        <w:p w14:paraId="5FEEB59F">
          <w:pPr>
            <w:widowControl/>
            <w:spacing w:line="440" w:lineRule="exact"/>
            <w:ind w:firstLine="2400" w:firstLineChars="10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（定货单编号：           ）</w:t>
          </w:r>
        </w:p>
        <w:p w14:paraId="2DF36184">
          <w:pPr>
            <w:jc w:val="center"/>
            <w:rPr>
              <w:rFonts w:ascii="宋体" w:hAnsi="宋体"/>
              <w:color w:val="auto"/>
              <w:sz w:val="24"/>
              <w:highlight w:val="none"/>
            </w:rPr>
          </w:pPr>
        </w:p>
        <w:p w14:paraId="7AC8A91F">
          <w:pPr>
            <w:widowControl/>
            <w:spacing w:line="440" w:lineRule="exact"/>
            <w:ind w:firstLine="2400" w:firstLineChars="10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公司：</w:t>
          </w:r>
        </w:p>
        <w:p w14:paraId="136750D1">
          <w:pPr>
            <w:widowControl/>
            <w:spacing w:line="440" w:lineRule="exact"/>
            <w:ind w:right="357" w:rightChars="170"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根据我司与贵司[]年[  ]月[  ]日签订的[              ]号《 大宗采购合同》，现我司向贵司确认本次采购产品明细如下：</w:t>
          </w:r>
        </w:p>
        <w:p w14:paraId="6764B80C">
          <w:pPr>
            <w:widowControl/>
            <w:spacing w:line="440" w:lineRule="exact"/>
            <w:ind w:right="357" w:rightChars="170" w:firstLine="482" w:firstLineChars="200"/>
            <w:rPr>
              <w:rFonts w:ascii="宋体" w:hAnsi="宋体" w:cs="宋体" w:eastAsiaTheme="minorEastAsia"/>
              <w:color w:val="auto"/>
              <w:kern w:val="2"/>
              <w:sz w:val="24"/>
              <w:szCs w:val="22"/>
              <w:highlight w:val="none"/>
              <w:lang w:val="en-US" w:eastAsia="zh-CN" w:bidi="ar-SA"/>
            </w:rPr>
          </w:pPr>
        </w:p>
      </w:sdtContent>
    </w:sdt>
    <w:p w14:paraId="56971953">
      <w:pPr>
        <w:widowControl/>
        <w:spacing w:line="440" w:lineRule="exact"/>
        <w:ind w:right="357" w:rightChars="170" w:firstLine="480" w:firstLineChars="200"/>
        <w:rPr>
          <w:rFonts w:hint="default" w:ascii="宋体" w:hAnsi="宋体" w:cs="宋体" w:eastAsiaTheme="minorEastAsia"/>
          <w:color w:val="auto"/>
          <w:kern w:val="2"/>
          <w:sz w:val="24"/>
          <w:szCs w:val="22"/>
          <w:highlight w:val="none"/>
          <w:lang w:val="en-US" w:eastAsia="zh-CN" w:bidi="ar-SA"/>
        </w:rPr>
      </w:pPr>
      <w:r>
        <w:rPr>
          <w:rFonts w:ascii="宋体" w:hAnsi="宋体" w:cs="宋体" w:eastAsiaTheme="minorEastAsia"/>
          <w:color w:val="auto"/>
          <w:kern w:val="2"/>
          <w:sz w:val="24"/>
          <w:szCs w:val="22"/>
          <w:highlight w:val="none"/>
          <w:lang w:val="en-US" w:eastAsia="zh-CN" w:bidi="ar-SA"/>
        </w:rPr>
        <w:fldChar w:fldCharType="begin">
          <w:ffData>
            <w:name w:val="Text6"/>
            <w:enabled/>
            <w:calcOnExit w:val="0"/>
            <w:textInput/>
          </w:ffData>
        </w:fldChar>
      </w:r>
      <w:bookmarkStart w:id="34" w:name="Text6"/>
      <w:r>
        <w:rPr>
          <w:rFonts w:ascii="宋体" w:hAnsi="宋体" w:cs="宋体" w:eastAsiaTheme="minorEastAsia"/>
          <w:color w:val="auto"/>
          <w:kern w:val="2"/>
          <w:sz w:val="24"/>
          <w:szCs w:val="22"/>
          <w:highlight w:val="none"/>
          <w:lang w:val="en-US" w:eastAsia="zh-CN" w:bidi="ar-SA"/>
        </w:rPr>
        <w:instrText xml:space="preserve">FORMTEXT</w:instrText>
      </w:r>
      <w:r>
        <w:rPr>
          <w:rFonts w:ascii="宋体" w:hAnsi="宋体" w:cs="宋体" w:eastAsiaTheme="minorEastAsia"/>
          <w:color w:val="auto"/>
          <w:kern w:val="2"/>
          <w:sz w:val="24"/>
          <w:szCs w:val="22"/>
          <w:highlight w:val="none"/>
          <w:lang w:val="en-US" w:eastAsia="zh-CN" w:bidi="ar-SA"/>
        </w:rPr>
        <w:fldChar w:fldCharType="separate"/>
      </w:r>
      <w:r>
        <w:rPr>
          <w:rFonts w:hint="default" w:ascii="宋体" w:hAnsi="宋体" w:cs="宋体" w:eastAsiaTheme="minorEastAsia"/>
          <w:color w:val="auto"/>
          <w:kern w:val="2"/>
          <w:sz w:val="24"/>
          <w:szCs w:val="22"/>
          <w:highlight w:val="none"/>
          <w:lang w:val="en-US" w:eastAsia="zh-CN" w:bidi="ar-SA"/>
        </w:rPr>
        <w:t>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666"/>
        <w:gridCol w:w="1418"/>
        <w:gridCol w:w="1701"/>
        <w:gridCol w:w="1319"/>
        <w:gridCol w:w="1560"/>
      </w:tblGrid>
      <w:tr w14:paraId="6CE10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shd w:val="clear" w:color="auto" w:fill="auto"/>
            <w:vAlign w:val="center"/>
          </w:tcPr>
          <w:p w14:paraId="27270307">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666" w:type="dxa"/>
            <w:shd w:val="clear" w:color="auto" w:fill="auto"/>
            <w:vAlign w:val="center"/>
          </w:tcPr>
          <w:p w14:paraId="65AA014E">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shd w:val="clear" w:color="auto" w:fill="auto"/>
            <w:vAlign w:val="center"/>
          </w:tcPr>
          <w:p w14:paraId="747FC210">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shd w:val="clear" w:color="auto" w:fill="auto"/>
            <w:vAlign w:val="center"/>
          </w:tcPr>
          <w:p w14:paraId="6D778A85">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w:t>
            </w:r>
          </w:p>
        </w:tc>
        <w:tc>
          <w:tcPr>
            <w:tcW w:w="1319" w:type="dxa"/>
            <w:shd w:val="clear" w:color="auto" w:fill="auto"/>
            <w:vAlign w:val="center"/>
          </w:tcPr>
          <w:p w14:paraId="57B5CE9D">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1560" w:type="dxa"/>
            <w:shd w:val="clear" w:color="auto" w:fill="auto"/>
            <w:vAlign w:val="center"/>
          </w:tcPr>
          <w:p w14:paraId="34931189">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总金（元）</w:t>
            </w:r>
          </w:p>
        </w:tc>
      </w:tr>
      <w:tr w14:paraId="42B1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shd w:val="clear" w:color="auto" w:fill="auto"/>
            <w:vAlign w:val="center"/>
          </w:tcPr>
          <w:p w14:paraId="1AA5B3F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shd w:val="clear" w:color="auto" w:fill="auto"/>
            <w:vAlign w:val="center"/>
          </w:tcPr>
          <w:p w14:paraId="567EE137">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shd w:val="clear" w:color="auto" w:fill="auto"/>
            <w:vAlign w:val="center"/>
          </w:tcPr>
          <w:p w14:paraId="23AC87A7">
            <w:pPr>
              <w:keepNext w:val="0"/>
              <w:keepLines w:val="0"/>
              <w:widowControl/>
              <w:suppressLineNumbers w:val="0"/>
              <w:spacing w:before="0" w:beforeAutospacing="0" w:after="0" w:afterAutospacing="0" w:line="360" w:lineRule="auto"/>
              <w:ind w:left="0" w:right="0"/>
              <w:jc w:val="center"/>
              <w:rPr>
                <w:rFonts w:hint="default" w:ascii="宋体" w:hAnsi="宋体" w:eastAsia="宋体" w:cstheme="minorEastAsia"/>
                <w:color w:val="auto"/>
                <w:kern w:val="0"/>
                <w:szCs w:val="21"/>
                <w:highlight w:val="none"/>
              </w:rPr>
            </w:pPr>
          </w:p>
        </w:tc>
        <w:tc>
          <w:tcPr>
            <w:tcW w:w="1701" w:type="dxa"/>
            <w:shd w:val="clear" w:color="auto" w:fill="auto"/>
            <w:vAlign w:val="center"/>
          </w:tcPr>
          <w:p w14:paraId="602A2DAC">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shd w:val="clear" w:color="auto" w:fill="auto"/>
            <w:vAlign w:val="center"/>
          </w:tcPr>
          <w:p w14:paraId="0C651839">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shd w:val="clear" w:color="auto" w:fill="auto"/>
            <w:vAlign w:val="center"/>
          </w:tcPr>
          <w:p w14:paraId="43122532">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5CB8E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shd w:val="clear" w:color="auto" w:fill="auto"/>
            <w:vAlign w:val="center"/>
          </w:tcPr>
          <w:p w14:paraId="2087387A">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shd w:val="clear" w:color="auto" w:fill="auto"/>
            <w:vAlign w:val="center"/>
          </w:tcPr>
          <w:p w14:paraId="5BF9826E">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shd w:val="clear" w:color="auto" w:fill="auto"/>
            <w:vAlign w:val="center"/>
          </w:tcPr>
          <w:p w14:paraId="7A8D3720">
            <w:pPr>
              <w:keepNext w:val="0"/>
              <w:keepLines w:val="0"/>
              <w:widowControl/>
              <w:suppressLineNumbers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701" w:type="dxa"/>
            <w:shd w:val="clear" w:color="auto" w:fill="auto"/>
            <w:vAlign w:val="center"/>
          </w:tcPr>
          <w:p w14:paraId="34913541">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shd w:val="clear" w:color="auto" w:fill="auto"/>
            <w:vAlign w:val="center"/>
          </w:tcPr>
          <w:p w14:paraId="5E939829">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shd w:val="clear" w:color="auto" w:fill="auto"/>
            <w:vAlign w:val="center"/>
          </w:tcPr>
          <w:p w14:paraId="35B9C164">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134B4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shd w:val="clear" w:color="auto" w:fill="auto"/>
            <w:vAlign w:val="center"/>
          </w:tcPr>
          <w:p w14:paraId="407AFE35">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shd w:val="clear" w:color="auto" w:fill="auto"/>
            <w:vAlign w:val="center"/>
          </w:tcPr>
          <w:p w14:paraId="478A8E56">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shd w:val="clear" w:color="auto" w:fill="auto"/>
            <w:vAlign w:val="bottom"/>
          </w:tcPr>
          <w:p w14:paraId="7347E99C">
            <w:pPr>
              <w:keepNext w:val="0"/>
              <w:keepLines w:val="0"/>
              <w:widowControl/>
              <w:suppressLineNumbers w:val="0"/>
              <w:spacing w:before="0" w:beforeAutospacing="0" w:after="0" w:afterAutospacing="0"/>
              <w:ind w:left="0" w:right="0"/>
              <w:jc w:val="center"/>
              <w:textAlignment w:val="bottom"/>
              <w:rPr>
                <w:rFonts w:hint="default" w:ascii="宋体" w:hAnsi="宋体" w:eastAsia="宋体" w:cs="等线"/>
                <w:color w:val="auto"/>
                <w:sz w:val="22"/>
                <w:highlight w:val="none"/>
              </w:rPr>
            </w:pPr>
          </w:p>
        </w:tc>
      </w:tr>
      <w:tr w14:paraId="0DE2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shd w:val="clear" w:color="auto" w:fill="auto"/>
            <w:vAlign w:val="center"/>
          </w:tcPr>
          <w:p w14:paraId="5F90D619">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定货单总价： 元整</w:t>
            </w:r>
          </w:p>
          <w:p w14:paraId="7E2B1C4C">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收货单位：</w:t>
            </w:r>
          </w:p>
          <w:p w14:paraId="0074B363">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交货地址：</w:t>
            </w:r>
          </w:p>
          <w:p w14:paraId="0F202212">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交货时间：</w:t>
            </w:r>
          </w:p>
          <w:p w14:paraId="0CFF9098">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olor w:val="auto"/>
                <w:sz w:val="24"/>
                <w:szCs w:val="24"/>
                <w:highlight w:val="none"/>
              </w:rPr>
              <w:t>安装时间：贵司应负责货物（设备）的安装，在接到我司或最终用户的安装要求后4个小时内安排安装服务人员到达指定地点进行安装调试，安装调试完成后三日内将最终用户确认的最终验收合格交付单及时反馈给我司。</w:t>
            </w:r>
          </w:p>
          <w:p w14:paraId="7E08D15F">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收货联系人及联系方式：</w:t>
            </w:r>
          </w:p>
        </w:tc>
      </w:tr>
    </w:tbl>
    <w:p w14:paraId="3FE5226C">
      <w:pPr>
        <w:widowControl/>
        <w:spacing w:line="440" w:lineRule="exact"/>
        <w:ind w:right="357" w:rightChars="170" w:firstLine="480" w:firstLineChars="200"/>
        <w:rPr>
          <w:rFonts w:ascii="宋体" w:hAnsi="宋体" w:cs="宋体" w:eastAsiaTheme="minorEastAsia"/>
          <w:color w:val="auto"/>
          <w:kern w:val="2"/>
          <w:sz w:val="24"/>
          <w:szCs w:val="22"/>
          <w:highlight w:val="none"/>
          <w:lang w:val="en-US" w:eastAsia="zh-CN" w:bidi="ar-SA"/>
        </w:rPr>
      </w:pPr>
      <w:r>
        <w:rPr>
          <w:rFonts w:hint="default" w:ascii="宋体" w:hAnsi="宋体" w:cs="宋体" w:eastAsiaTheme="minorEastAsia"/>
          <w:color w:val="auto"/>
          <w:kern w:val="2"/>
          <w:sz w:val="24"/>
          <w:szCs w:val="22"/>
          <w:highlight w:val="none"/>
          <w:lang w:val="en-US" w:eastAsia="zh-CN" w:bidi="ar-SA"/>
        </w:rPr>
        <w:t> </w:t>
      </w:r>
      <w:r>
        <w:rPr>
          <w:rFonts w:ascii="宋体" w:hAnsi="宋体" w:cs="宋体" w:eastAsiaTheme="minorEastAsia"/>
          <w:color w:val="auto"/>
          <w:kern w:val="2"/>
          <w:sz w:val="24"/>
          <w:szCs w:val="22"/>
          <w:highlight w:val="none"/>
          <w:lang w:val="en-US" w:eastAsia="zh-CN" w:bidi="ar-SA"/>
        </w:rPr>
        <w:fldChar w:fldCharType="end"/>
      </w:r>
      <w:bookmarkEnd w:id="34"/>
    </w:p>
    <w:sdt>
      <w:sdtPr>
        <w:rPr>
          <w:rFonts w:hint="eastAsia" w:ascii="宋体" w:hAnsi="宋体" w:eastAsiaTheme="minorEastAsia" w:cstheme="minorBidi"/>
          <w:color w:val="auto"/>
          <w:kern w:val="2"/>
          <w:sz w:val="24"/>
          <w:szCs w:val="22"/>
          <w:highlight w:val="none"/>
          <w:lang w:val="en-US" w:eastAsia="zh-CN" w:bidi="ar-SA"/>
        </w:rPr>
        <w:id w:val="147458696"/>
        <w:placeholder>
          <w:docPart w:val="{981db4dd-9892-42f1-8d24-e136cf578e78}"/>
        </w:placeholder>
      </w:sdtPr>
      <w:sdtEndPr>
        <w:rPr>
          <w:rFonts w:hint="eastAsia" w:ascii="宋体" w:hAnsi="宋体" w:eastAsia="宋体" w:cs="宋体"/>
          <w:color w:val="auto"/>
          <w:kern w:val="0"/>
          <w:sz w:val="24"/>
          <w:szCs w:val="24"/>
          <w:highlight w:val="none"/>
          <w:lang w:val="en-US" w:eastAsia="zh-CN" w:bidi="ar-SA"/>
        </w:rPr>
      </w:sdtEndPr>
      <w:sdtContent>
        <w:p w14:paraId="3F671CC4">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注：授权经办指定邮箱发送的扫描件与原件具有同等法律效力。</w:t>
          </w:r>
        </w:p>
        <w:p w14:paraId="3CBCFAFF">
          <w:pPr>
            <w:widowControl/>
            <w:spacing w:line="440" w:lineRule="exact"/>
            <w:rPr>
              <w:rFonts w:ascii="宋体" w:hAnsi="宋体" w:cs="宋体"/>
              <w:color w:val="auto"/>
              <w:sz w:val="24"/>
              <w:highlight w:val="none"/>
            </w:rPr>
          </w:pPr>
        </w:p>
        <w:p w14:paraId="77BC347B">
          <w:pPr>
            <w:widowControl/>
            <w:spacing w:line="440" w:lineRule="exact"/>
            <w:rPr>
              <w:rFonts w:ascii="宋体" w:hAnsi="宋体" w:cs="宋体"/>
              <w:color w:val="auto"/>
              <w:sz w:val="24"/>
              <w:highlight w:val="none"/>
            </w:rPr>
          </w:pPr>
        </w:p>
        <w:p w14:paraId="70CFC0C2">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采购单位：</w:t>
          </w:r>
          <w:bookmarkStart w:id="35" w:name="_Hlk97045152"/>
          <w:r>
            <w:rPr>
              <w:rFonts w:hint="eastAsia" w:ascii="宋体" w:hAnsi="宋体" w:eastAsia="宋体" w:cs="宋体"/>
              <w:color w:val="auto"/>
              <w:kern w:val="0"/>
              <w:sz w:val="24"/>
              <w:szCs w:val="24"/>
              <w:highlight w:val="none"/>
            </w:rPr>
            <w:t>厦门万翔网络商务有限公司</w:t>
          </w:r>
        </w:p>
        <w:bookmarkEnd w:id="35"/>
        <w:p w14:paraId="6AFF4D8E">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sdtContent>
    </w:sdt>
    <w:p w14:paraId="34E9A172">
      <w:pPr>
        <w:spacing w:line="360" w:lineRule="auto"/>
        <w:ind w:firstLine="480" w:firstLineChars="200"/>
        <w:rPr>
          <w:rFonts w:ascii="宋体" w:hAnsi="宋体" w:eastAsia="宋体" w:cs="宋体"/>
          <w:color w:val="auto"/>
          <w:kern w:val="0"/>
          <w:sz w:val="24"/>
          <w:szCs w:val="24"/>
          <w:highlight w:val="none"/>
        </w:rPr>
      </w:pPr>
    </w:p>
    <w:p w14:paraId="1CAC952E">
      <w:pPr>
        <w:rPr>
          <w:rFonts w:ascii="宋体" w:hAnsi="宋体" w:eastAsia="宋体"/>
          <w:color w:val="auto"/>
          <w:highlight w:val="none"/>
        </w:rPr>
      </w:pPr>
    </w:p>
    <w:p w14:paraId="3B929A0C">
      <w:pPr>
        <w:rPr>
          <w:rFonts w:ascii="宋体" w:hAnsi="宋体" w:eastAsia="宋体"/>
          <w:color w:val="auto"/>
          <w:highlight w:val="none"/>
        </w:rPr>
      </w:pPr>
    </w:p>
    <w:p w14:paraId="3BB7B150">
      <w:pPr>
        <w:rPr>
          <w:rFonts w:ascii="宋体" w:hAnsi="宋体" w:eastAsia="宋体"/>
          <w:color w:val="auto"/>
          <w:highlight w:val="none"/>
        </w:rPr>
      </w:pPr>
    </w:p>
    <w:sdt>
      <w:sdtPr>
        <w:rPr>
          <w:rFonts w:hint="eastAsia" w:ascii="宋体" w:hAnsi="宋体" w:eastAsia="宋体" w:cstheme="minorBidi"/>
          <w:b/>
          <w:bCs/>
          <w:color w:val="auto"/>
          <w:kern w:val="2"/>
          <w:sz w:val="24"/>
          <w:szCs w:val="24"/>
          <w:highlight w:val="none"/>
          <w:lang w:val="en-US" w:eastAsia="zh-CN" w:bidi="ar-SA"/>
        </w:rPr>
        <w:id w:val="147458686"/>
        <w:placeholder>
          <w:docPart w:val="{9e0d915e-fddf-4b93-a1cb-16578e613546}"/>
        </w:placeholder>
      </w:sdtPr>
      <w:sdtEndPr>
        <w:rPr>
          <w:rFonts w:hint="eastAsia" w:ascii="宋体" w:hAnsi="宋体" w:eastAsia="宋体" w:cstheme="minorBidi"/>
          <w:b/>
          <w:bCs/>
          <w:color w:val="auto"/>
          <w:kern w:val="2"/>
          <w:sz w:val="24"/>
          <w:szCs w:val="24"/>
          <w:highlight w:val="none"/>
          <w:lang w:val="en-US" w:eastAsia="zh-CN" w:bidi="ar-SA"/>
        </w:rPr>
      </w:sdtEndPr>
      <w:sdtContent>
        <w:p w14:paraId="0F34FB5E">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附件5：验收单样单</w:t>
          </w:r>
        </w:p>
      </w:sdtContent>
    </w:sdt>
    <w:sdt>
      <w:sdtPr>
        <w:rPr>
          <w:rFonts w:hint="eastAsia" w:ascii="宋体" w:hAnsi="宋体" w:eastAsia="宋体" w:cstheme="minorBidi"/>
          <w:b/>
          <w:bCs/>
          <w:color w:val="auto"/>
          <w:kern w:val="2"/>
          <w:sz w:val="24"/>
          <w:szCs w:val="24"/>
          <w:highlight w:val="none"/>
          <w:lang w:val="en-US" w:eastAsia="zh-CN" w:bidi="ar-SA"/>
        </w:rPr>
        <w:id w:val="147458660"/>
        <w:placeholder>
          <w:docPart w:val="{1b7c8bca-4de6-4d85-8ca4-dceb9fbc773f}"/>
        </w:placeholder>
      </w:sdtPr>
      <w:sdtEndPr>
        <w:rPr>
          <w:rFonts w:hint="eastAsia" w:ascii="宋体" w:hAnsi="宋体" w:eastAsia="宋体" w:cstheme="minorBidi"/>
          <w:b/>
          <w:bCs/>
          <w:color w:val="auto"/>
          <w:kern w:val="2"/>
          <w:sz w:val="24"/>
          <w:szCs w:val="24"/>
          <w:highlight w:val="none"/>
          <w:lang w:val="en-US" w:eastAsia="zh-CN" w:bidi="ar-SA"/>
        </w:rPr>
      </w:sdtEndPr>
      <w:sdtContent>
        <w:p w14:paraId="3831EF68">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drawing>
              <wp:inline distT="0" distB="0" distL="114300" distR="114300">
                <wp:extent cx="5274310" cy="7529195"/>
                <wp:effectExtent l="0" t="0" r="13970" b="14605"/>
                <wp:docPr id="1" name="图片 1"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副本验收报告格式(最终稿）(2)"/>
                        <pic:cNvPicPr>
                          <a:picLocks noChangeAspect="1"/>
                        </pic:cNvPicPr>
                      </pic:nvPicPr>
                      <pic:blipFill>
                        <a:blip r:embed="rId12" cstate="print"/>
                        <a:stretch>
                          <a:fillRect/>
                        </a:stretch>
                      </pic:blipFill>
                      <pic:spPr>
                        <a:xfrm>
                          <a:off x="0" y="0"/>
                          <a:ext cx="5274310" cy="7529195"/>
                        </a:xfrm>
                        <a:prstGeom prst="rect">
                          <a:avLst/>
                        </a:prstGeom>
                      </pic:spPr>
                    </pic:pic>
                  </a:graphicData>
                </a:graphic>
              </wp:inline>
            </w:drawing>
          </w:r>
        </w:p>
      </w:sdtContent>
    </w:sdt>
    <w:p w14:paraId="27D3FE3F">
      <w:pPr>
        <w:rPr>
          <w:b/>
          <w:bCs/>
          <w:color w:val="auto"/>
          <w:highlight w:val="none"/>
        </w:rPr>
      </w:pPr>
    </w:p>
    <w:p w14:paraId="77B054F8">
      <w:pPr>
        <w:spacing w:line="360" w:lineRule="auto"/>
        <w:rPr>
          <w:rFonts w:hint="eastAsia" w:ascii="宋体" w:hAnsi="宋体" w:eastAsia="宋体" w:cs="宋体"/>
          <w:color w:val="auto"/>
          <w:sz w:val="24"/>
          <w:szCs w:val="24"/>
          <w:highlight w:val="none"/>
        </w:rPr>
      </w:pPr>
    </w:p>
    <w:p w14:paraId="1E00AFD7">
      <w:pPr>
        <w:rPr>
          <w:color w:val="auto"/>
          <w:highlight w:val="none"/>
        </w:rPr>
      </w:pPr>
    </w:p>
    <w:sectPr>
      <w:footerReference r:id="rId10"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A5027">
    <w:pPr>
      <w:pStyle w:val="7"/>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0F703">
    <w:pPr>
      <w:pStyle w:val="7"/>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39B5F">
    <w:pPr>
      <w:pStyle w:val="7"/>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F6E45">
    <w:pPr>
      <w:pStyle w:val="7"/>
      <w:jc w:val="center"/>
      <w:rPr>
        <w:rFonts w:ascii="宋体" w:hAnsi="宋体"/>
      </w:rPr>
    </w:pPr>
    <w:r>
      <w:rPr>
        <w:rStyle w:val="16"/>
        <w:rFonts w:ascii="宋体" w:hAnsi="宋体"/>
        <w:szCs w:val="20"/>
      </w:rPr>
      <w:t>2-1-</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5E487">
    <w:pPr>
      <w:pStyle w:val="7"/>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4BEEF">
    <w:pPr>
      <w:pStyle w:val="7"/>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7998B">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37C94">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A178B626"/>
    <w:multiLevelType w:val="singleLevel"/>
    <w:tmpl w:val="A178B626"/>
    <w:lvl w:ilvl="0" w:tentative="0">
      <w:start w:val="1"/>
      <w:numFmt w:val="decimal"/>
      <w:suff w:val="nothing"/>
      <w:lvlText w:val="%1、"/>
      <w:lvlJc w:val="left"/>
    </w:lvl>
  </w:abstractNum>
  <w:abstractNum w:abstractNumId="2">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7F93ECB7"/>
    <w:multiLevelType w:val="singleLevel"/>
    <w:tmpl w:val="7F93ECB7"/>
    <w:lvl w:ilvl="0" w:tentative="0">
      <w:start w:val="1"/>
      <w:numFmt w:val="chineseCounting"/>
      <w:suff w:val="nothing"/>
      <w:lvlText w:val="%1、"/>
      <w:lvlJc w:val="left"/>
      <w:rPr>
        <w:rFonts w:hint="eastAsia"/>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GQ4ZWUxYTFmMTAzMjkwNmY0OWZjM2ZiMDFlYjMifQ=="/>
  </w:docVars>
  <w:rsids>
    <w:rsidRoot w:val="00000000"/>
    <w:rsid w:val="01F571E8"/>
    <w:rsid w:val="02184C85"/>
    <w:rsid w:val="024912E2"/>
    <w:rsid w:val="049A4077"/>
    <w:rsid w:val="06F2019A"/>
    <w:rsid w:val="0874698D"/>
    <w:rsid w:val="08915791"/>
    <w:rsid w:val="08FA6E92"/>
    <w:rsid w:val="09320D22"/>
    <w:rsid w:val="0F7F00F1"/>
    <w:rsid w:val="119A3908"/>
    <w:rsid w:val="12413C2D"/>
    <w:rsid w:val="124B4C03"/>
    <w:rsid w:val="127F48AC"/>
    <w:rsid w:val="129B486E"/>
    <w:rsid w:val="154F0566"/>
    <w:rsid w:val="17E51656"/>
    <w:rsid w:val="194A79C2"/>
    <w:rsid w:val="19516FA3"/>
    <w:rsid w:val="1E6908EA"/>
    <w:rsid w:val="1EE73F05"/>
    <w:rsid w:val="21635AC5"/>
    <w:rsid w:val="2241392C"/>
    <w:rsid w:val="23FA3D93"/>
    <w:rsid w:val="263A491A"/>
    <w:rsid w:val="2D5815AF"/>
    <w:rsid w:val="2DA134D1"/>
    <w:rsid w:val="2DC84BF9"/>
    <w:rsid w:val="2EF37D5C"/>
    <w:rsid w:val="2F950E14"/>
    <w:rsid w:val="304B2902"/>
    <w:rsid w:val="324266D0"/>
    <w:rsid w:val="35EF127D"/>
    <w:rsid w:val="363C023B"/>
    <w:rsid w:val="372907BF"/>
    <w:rsid w:val="377F4883"/>
    <w:rsid w:val="3E432AAE"/>
    <w:rsid w:val="3EA846BF"/>
    <w:rsid w:val="3EB219E2"/>
    <w:rsid w:val="404448BC"/>
    <w:rsid w:val="405C1C05"/>
    <w:rsid w:val="420C765B"/>
    <w:rsid w:val="47555600"/>
    <w:rsid w:val="48256D81"/>
    <w:rsid w:val="485A2E33"/>
    <w:rsid w:val="498B70B7"/>
    <w:rsid w:val="49FE3D2D"/>
    <w:rsid w:val="4A6D4A0F"/>
    <w:rsid w:val="4B7778F3"/>
    <w:rsid w:val="4B9D30D2"/>
    <w:rsid w:val="4E7B76FB"/>
    <w:rsid w:val="4FBF3D7B"/>
    <w:rsid w:val="4FD74E04"/>
    <w:rsid w:val="4FF43C08"/>
    <w:rsid w:val="4FF569A4"/>
    <w:rsid w:val="50A218B6"/>
    <w:rsid w:val="511F2F07"/>
    <w:rsid w:val="55B856D8"/>
    <w:rsid w:val="56C37E91"/>
    <w:rsid w:val="59684D1F"/>
    <w:rsid w:val="5A5D23AA"/>
    <w:rsid w:val="5C4E28F2"/>
    <w:rsid w:val="5DF4767B"/>
    <w:rsid w:val="5E8C325E"/>
    <w:rsid w:val="5ED66574"/>
    <w:rsid w:val="603C0CB4"/>
    <w:rsid w:val="608A5EC3"/>
    <w:rsid w:val="6172466E"/>
    <w:rsid w:val="65956E9C"/>
    <w:rsid w:val="66E83943"/>
    <w:rsid w:val="67184229"/>
    <w:rsid w:val="6D0843F7"/>
    <w:rsid w:val="6D6D06FE"/>
    <w:rsid w:val="6F285225"/>
    <w:rsid w:val="70D50A94"/>
    <w:rsid w:val="72253C9E"/>
    <w:rsid w:val="722C2936"/>
    <w:rsid w:val="73267CCD"/>
    <w:rsid w:val="736B56E0"/>
    <w:rsid w:val="75A629FF"/>
    <w:rsid w:val="788E3053"/>
    <w:rsid w:val="7C30396B"/>
    <w:rsid w:val="7C9B7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4">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line="480" w:lineRule="auto"/>
      <w:ind w:left="420"/>
    </w:pPr>
    <w:rPr>
      <w:rFonts w:ascii="Times New Roman" w:hAnsi="Times New Roman"/>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0">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1">
    <w:name w:val="Body Text First Indent 2"/>
    <w:basedOn w:val="4"/>
    <w:next w:val="1"/>
    <w:qFormat/>
    <w:uiPriority w:val="0"/>
    <w:pPr>
      <w:ind w:firstLine="420" w:firstLineChars="200"/>
    </w:pPr>
  </w:style>
  <w:style w:type="table" w:styleId="13">
    <w:name w:val="Table Grid"/>
    <w:basedOn w:val="12"/>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page number"/>
    <w:basedOn w:val="14"/>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18">
    <w:name w:val="16"/>
    <w:basedOn w:val="14"/>
    <w:qFormat/>
    <w:uiPriority w:val="0"/>
    <w:rPr>
      <w:rFonts w:hint="eastAsia" w:ascii="宋体" w:hAnsi="宋体" w:eastAsia="宋体" w:cs="宋体"/>
      <w:b/>
      <w:bCs/>
      <w:color w:val="FF0000"/>
      <w:sz w:val="18"/>
      <w:szCs w:val="18"/>
    </w:rPr>
  </w:style>
  <w:style w:type="character" w:customStyle="1" w:styleId="19">
    <w:name w:val="font41"/>
    <w:basedOn w:val="14"/>
    <w:qFormat/>
    <w:uiPriority w:val="0"/>
    <w:rPr>
      <w:rFonts w:hint="eastAsia" w:ascii="宋体" w:hAnsi="宋体" w:eastAsia="宋体" w:cs="宋体"/>
      <w:b/>
      <w:bCs/>
      <w:color w:val="FF0000"/>
      <w:sz w:val="18"/>
      <w:szCs w:val="18"/>
      <w:u w:val="none"/>
    </w:rPr>
  </w:style>
  <w:style w:type="character" w:customStyle="1" w:styleId="20">
    <w:name w:val="font21"/>
    <w:basedOn w:val="14"/>
    <w:qFormat/>
    <w:uiPriority w:val="0"/>
    <w:rPr>
      <w:rFonts w:hint="eastAsia" w:ascii="宋体" w:hAnsi="宋体" w:eastAsia="宋体" w:cs="宋体"/>
      <w:b/>
      <w:bCs/>
      <w:color w:val="000000"/>
      <w:sz w:val="18"/>
      <w:szCs w:val="18"/>
      <w:u w:val="none"/>
    </w:rPr>
  </w:style>
  <w:style w:type="paragraph" w:customStyle="1" w:styleId="21">
    <w:name w:val="p0"/>
    <w:basedOn w:val="1"/>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0"/>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e2276e-db14-4c52-97fb-93a1220bdf18}"/>
        <w:style w:val=""/>
        <w:category>
          <w:name w:val="常规"/>
          <w:gallery w:val="placeholder"/>
        </w:category>
        <w:types>
          <w:type w:val="bbPlcHdr"/>
        </w:types>
        <w:behaviors>
          <w:behavior w:val="content"/>
        </w:behaviors>
        <w:description w:val=""/>
        <w:guid w:val="{dee2276e-db14-4c52-97fb-93a1220bdf18}"/>
      </w:docPartPr>
      <w:docPartBody>
        <w:p w14:paraId="341D357C">
          <w:r>
            <w:rPr>
              <w:color w:val="808080"/>
            </w:rPr>
            <w:t>单击此处输入文字。</w:t>
          </w:r>
        </w:p>
      </w:docPartBody>
    </w:docPart>
    <w:docPart>
      <w:docPartPr>
        <w:name w:val="{728d478d-ab35-4cae-bf60-d3b21b884c8f}"/>
        <w:style w:val=""/>
        <w:category>
          <w:name w:val="常规"/>
          <w:gallery w:val="placeholder"/>
        </w:category>
        <w:types>
          <w:type w:val="bbPlcHdr"/>
        </w:types>
        <w:behaviors>
          <w:behavior w:val="content"/>
        </w:behaviors>
        <w:description w:val=""/>
        <w:guid w:val="{728d478d-ab35-4cae-bf60-d3b21b884c8f}"/>
      </w:docPartPr>
      <w:docPartBody>
        <w:p w14:paraId="24977CD2">
          <w:r>
            <w:rPr>
              <w:color w:val="808080"/>
            </w:rPr>
            <w:t>单击此处输入文字。</w:t>
          </w:r>
        </w:p>
      </w:docPartBody>
    </w:docPart>
    <w:docPart>
      <w:docPartPr>
        <w:name w:val="{33becd65-a107-4e79-b303-3045ae72a831}"/>
        <w:style w:val=""/>
        <w:category>
          <w:name w:val="常规"/>
          <w:gallery w:val="placeholder"/>
        </w:category>
        <w:types>
          <w:type w:val="bbPlcHdr"/>
        </w:types>
        <w:behaviors>
          <w:behavior w:val="content"/>
        </w:behaviors>
        <w:description w:val=""/>
        <w:guid w:val="{33becd65-a107-4e79-b303-3045ae72a831}"/>
      </w:docPartPr>
      <w:docPartBody>
        <w:p w14:paraId="5EFFAB59">
          <w:r>
            <w:rPr>
              <w:color w:val="808080"/>
            </w:rPr>
            <w:t>单击此处输入文字。</w:t>
          </w:r>
        </w:p>
      </w:docPartBody>
    </w:docPart>
    <w:docPart>
      <w:docPartPr>
        <w:name w:val="{4c023f47-70a9-4d89-a823-1d5d1c5c1533}"/>
        <w:style w:val=""/>
        <w:category>
          <w:name w:val="常规"/>
          <w:gallery w:val="placeholder"/>
        </w:category>
        <w:types>
          <w:type w:val="bbPlcHdr"/>
        </w:types>
        <w:behaviors>
          <w:behavior w:val="content"/>
        </w:behaviors>
        <w:description w:val=""/>
        <w:guid w:val="{4c023f47-70a9-4d89-a823-1d5d1c5c1533}"/>
      </w:docPartPr>
      <w:docPartBody>
        <w:p w14:paraId="30D15BB7">
          <w:r>
            <w:rPr>
              <w:color w:val="808080"/>
            </w:rPr>
            <w:t>单击此处输入文字。</w:t>
          </w:r>
        </w:p>
      </w:docPartBody>
    </w:docPart>
    <w:docPart>
      <w:docPartPr>
        <w:name w:val="{73167901-1e43-405a-a6bd-ac6debb68c73}"/>
        <w:style w:val=""/>
        <w:category>
          <w:name w:val="常规"/>
          <w:gallery w:val="placeholder"/>
        </w:category>
        <w:types>
          <w:type w:val="bbPlcHdr"/>
        </w:types>
        <w:behaviors>
          <w:behavior w:val="content"/>
        </w:behaviors>
        <w:description w:val=""/>
        <w:guid w:val="{73167901-1e43-405a-a6bd-ac6debb68c73}"/>
      </w:docPartPr>
      <w:docPartBody>
        <w:p w14:paraId="07165653">
          <w:r>
            <w:rPr>
              <w:color w:val="808080"/>
            </w:rPr>
            <w:t>单击此处输入文字。</w:t>
          </w:r>
        </w:p>
      </w:docPartBody>
    </w:docPart>
    <w:docPart>
      <w:docPartPr>
        <w:name w:val="{b473284c-d7cc-4799-86fb-aa13be203c14}"/>
        <w:style w:val=""/>
        <w:category>
          <w:name w:val="常规"/>
          <w:gallery w:val="placeholder"/>
        </w:category>
        <w:types>
          <w:type w:val="bbPlcHdr"/>
        </w:types>
        <w:behaviors>
          <w:behavior w:val="content"/>
        </w:behaviors>
        <w:description w:val=""/>
        <w:guid w:val="{b473284c-d7cc-4799-86fb-aa13be203c14}"/>
      </w:docPartPr>
      <w:docPartBody>
        <w:p w14:paraId="18A785DB">
          <w:r>
            <w:rPr>
              <w:color w:val="808080"/>
            </w:rPr>
            <w:t>单击此处输入文字。</w:t>
          </w:r>
        </w:p>
      </w:docPartBody>
    </w:docPart>
    <w:docPart>
      <w:docPartPr>
        <w:name w:val="{fcc56ac8-e954-4acd-8edf-5c753224c35c}"/>
        <w:style w:val=""/>
        <w:category>
          <w:name w:val="常规"/>
          <w:gallery w:val="placeholder"/>
        </w:category>
        <w:types>
          <w:type w:val="bbPlcHdr"/>
        </w:types>
        <w:behaviors>
          <w:behavior w:val="content"/>
        </w:behaviors>
        <w:description w:val=""/>
        <w:guid w:val="{fcc56ac8-e954-4acd-8edf-5c753224c35c}"/>
      </w:docPartPr>
      <w:docPartBody>
        <w:p w14:paraId="4C144CE7">
          <w:r>
            <w:rPr>
              <w:color w:val="808080"/>
            </w:rPr>
            <w:t>单击此处输入文字。</w:t>
          </w:r>
        </w:p>
      </w:docPartBody>
    </w:docPart>
    <w:docPart>
      <w:docPartPr>
        <w:name w:val="{9498be8b-c12c-4e11-b87e-17c97895b92e}"/>
        <w:style w:val=""/>
        <w:category>
          <w:name w:val="常规"/>
          <w:gallery w:val="placeholder"/>
        </w:category>
        <w:types>
          <w:type w:val="bbPlcHdr"/>
        </w:types>
        <w:behaviors>
          <w:behavior w:val="content"/>
        </w:behaviors>
        <w:description w:val=""/>
        <w:guid w:val="{9498be8b-c12c-4e11-b87e-17c97895b92e}"/>
      </w:docPartPr>
      <w:docPartBody>
        <w:p w14:paraId="52B1F68B">
          <w:r>
            <w:rPr>
              <w:color w:val="808080"/>
            </w:rPr>
            <w:t>单击此处输入文字。</w:t>
          </w:r>
        </w:p>
      </w:docPartBody>
    </w:docPart>
    <w:docPart>
      <w:docPartPr>
        <w:name w:val="{2b2db9e6-2293-44fc-83ca-0afb91cc6bee}"/>
        <w:style w:val=""/>
        <w:category>
          <w:name w:val="常规"/>
          <w:gallery w:val="placeholder"/>
        </w:category>
        <w:types>
          <w:type w:val="bbPlcHdr"/>
        </w:types>
        <w:behaviors>
          <w:behavior w:val="content"/>
        </w:behaviors>
        <w:description w:val=""/>
        <w:guid w:val="{2b2db9e6-2293-44fc-83ca-0afb91cc6bee}"/>
      </w:docPartPr>
      <w:docPartBody>
        <w:p w14:paraId="254C5928">
          <w:r>
            <w:rPr>
              <w:color w:val="808080"/>
            </w:rPr>
            <w:t>单击此处输入文字。</w:t>
          </w:r>
        </w:p>
      </w:docPartBody>
    </w:docPart>
    <w:docPart>
      <w:docPartPr>
        <w:name w:val="{2d305a8e-0c3b-42e9-ac42-ffa51aac3ad1}"/>
        <w:style w:val=""/>
        <w:category>
          <w:name w:val="常规"/>
          <w:gallery w:val="placeholder"/>
        </w:category>
        <w:types>
          <w:type w:val="bbPlcHdr"/>
        </w:types>
        <w:behaviors>
          <w:behavior w:val="content"/>
        </w:behaviors>
        <w:description w:val=""/>
        <w:guid w:val="{2d305a8e-0c3b-42e9-ac42-ffa51aac3ad1}"/>
      </w:docPartPr>
      <w:docPartBody>
        <w:p w14:paraId="518AD0AE">
          <w:r>
            <w:rPr>
              <w:color w:val="808080"/>
            </w:rPr>
            <w:t>单击此处输入文字。</w:t>
          </w:r>
        </w:p>
      </w:docPartBody>
    </w:docPart>
    <w:docPart>
      <w:docPartPr>
        <w:name w:val="{21835dd3-ae63-4b35-9585-cacbd5c276a7}"/>
        <w:style w:val=""/>
        <w:category>
          <w:name w:val="常规"/>
          <w:gallery w:val="placeholder"/>
        </w:category>
        <w:types>
          <w:type w:val="bbPlcHdr"/>
        </w:types>
        <w:behaviors>
          <w:behavior w:val="content"/>
        </w:behaviors>
        <w:description w:val=""/>
        <w:guid w:val="{21835dd3-ae63-4b35-9585-cacbd5c276a7}"/>
      </w:docPartPr>
      <w:docPartBody>
        <w:p w14:paraId="689BD13F">
          <w:r>
            <w:rPr>
              <w:color w:val="808080"/>
            </w:rPr>
            <w:t>单击此处输入文字。</w:t>
          </w:r>
        </w:p>
      </w:docPartBody>
    </w:docPart>
    <w:docPart>
      <w:docPartPr>
        <w:name w:val="{6fa2c665-d416-41a3-8a7c-ab1ca1aed4c6}"/>
        <w:style w:val=""/>
        <w:category>
          <w:name w:val="常规"/>
          <w:gallery w:val="placeholder"/>
        </w:category>
        <w:types>
          <w:type w:val="bbPlcHdr"/>
        </w:types>
        <w:behaviors>
          <w:behavior w:val="content"/>
        </w:behaviors>
        <w:description w:val=""/>
        <w:guid w:val="{6fa2c665-d416-41a3-8a7c-ab1ca1aed4c6}"/>
      </w:docPartPr>
      <w:docPartBody>
        <w:p w14:paraId="56EA7AB7">
          <w:r>
            <w:rPr>
              <w:color w:val="808080"/>
            </w:rPr>
            <w:t>单击此处输入文字。</w:t>
          </w:r>
        </w:p>
      </w:docPartBody>
    </w:docPart>
    <w:docPart>
      <w:docPartPr>
        <w:name w:val="{431d260d-72be-4192-9a56-c3bf7b6d7f82}"/>
        <w:style w:val=""/>
        <w:category>
          <w:name w:val="常规"/>
          <w:gallery w:val="placeholder"/>
        </w:category>
        <w:types>
          <w:type w:val="bbPlcHdr"/>
        </w:types>
        <w:behaviors>
          <w:behavior w:val="content"/>
        </w:behaviors>
        <w:description w:val=""/>
        <w:guid w:val="{431d260d-72be-4192-9a56-c3bf7b6d7f82}"/>
      </w:docPartPr>
      <w:docPartBody>
        <w:p w14:paraId="498227EB">
          <w:r>
            <w:rPr>
              <w:color w:val="808080"/>
            </w:rPr>
            <w:t>单击此处输入文字。</w:t>
          </w:r>
        </w:p>
      </w:docPartBody>
    </w:docPart>
    <w:docPart>
      <w:docPartPr>
        <w:name w:val="{8e45af4d-8c2b-451d-aac7-52cc5fc07001}"/>
        <w:style w:val=""/>
        <w:category>
          <w:name w:val="常规"/>
          <w:gallery w:val="placeholder"/>
        </w:category>
        <w:types>
          <w:type w:val="bbPlcHdr"/>
        </w:types>
        <w:behaviors>
          <w:behavior w:val="content"/>
        </w:behaviors>
        <w:description w:val=""/>
        <w:guid w:val="{8e45af4d-8c2b-451d-aac7-52cc5fc07001}"/>
      </w:docPartPr>
      <w:docPartBody>
        <w:p w14:paraId="75B86AFE">
          <w:r>
            <w:rPr>
              <w:color w:val="808080"/>
            </w:rPr>
            <w:t>单击此处输入文字。</w:t>
          </w:r>
        </w:p>
      </w:docPartBody>
    </w:docPart>
    <w:docPart>
      <w:docPartPr>
        <w:name w:val="{fa4aa358-0f6c-4d48-8dbe-9ba2cea286c7}"/>
        <w:style w:val=""/>
        <w:category>
          <w:name w:val="常规"/>
          <w:gallery w:val="placeholder"/>
        </w:category>
        <w:types>
          <w:type w:val="bbPlcHdr"/>
        </w:types>
        <w:behaviors>
          <w:behavior w:val="content"/>
        </w:behaviors>
        <w:description w:val=""/>
        <w:guid w:val="{fa4aa358-0f6c-4d48-8dbe-9ba2cea286c7}"/>
      </w:docPartPr>
      <w:docPartBody>
        <w:p w14:paraId="5048864E">
          <w:r>
            <w:rPr>
              <w:color w:val="808080"/>
            </w:rPr>
            <w:t>单击此处输入文字。</w:t>
          </w:r>
        </w:p>
      </w:docPartBody>
    </w:docPart>
    <w:docPart>
      <w:docPartPr>
        <w:name w:val="{8f4e0299-3078-4397-8bd5-7b2bbaa8ac4d}"/>
        <w:style w:val=""/>
        <w:category>
          <w:name w:val="常规"/>
          <w:gallery w:val="placeholder"/>
        </w:category>
        <w:types>
          <w:type w:val="bbPlcHdr"/>
        </w:types>
        <w:behaviors>
          <w:behavior w:val="content"/>
        </w:behaviors>
        <w:description w:val=""/>
        <w:guid w:val="{8f4e0299-3078-4397-8bd5-7b2bbaa8ac4d}"/>
      </w:docPartPr>
      <w:docPartBody>
        <w:p w14:paraId="05E7C00A">
          <w:r>
            <w:rPr>
              <w:color w:val="808080"/>
            </w:rPr>
            <w:t>单击此处输入文字。</w:t>
          </w:r>
        </w:p>
      </w:docPartBody>
    </w:docPart>
    <w:docPart>
      <w:docPartPr>
        <w:name w:val="{e73b8b87-6dbe-4a81-acec-182627e9457f}"/>
        <w:style w:val=""/>
        <w:category>
          <w:name w:val="常规"/>
          <w:gallery w:val="placeholder"/>
        </w:category>
        <w:types>
          <w:type w:val="bbPlcHdr"/>
        </w:types>
        <w:behaviors>
          <w:behavior w:val="content"/>
        </w:behaviors>
        <w:description w:val=""/>
        <w:guid w:val="{e73b8b87-6dbe-4a81-acec-182627e9457f}"/>
      </w:docPartPr>
      <w:docPartBody>
        <w:p w14:paraId="115ED3EC">
          <w:r>
            <w:rPr>
              <w:color w:val="808080"/>
            </w:rPr>
            <w:t>单击此处输入文字。</w:t>
          </w:r>
        </w:p>
      </w:docPartBody>
    </w:docPart>
    <w:docPart>
      <w:docPartPr>
        <w:name w:val="{59e6a312-1e79-48ee-97d2-3aea9e7220db}"/>
        <w:style w:val=""/>
        <w:category>
          <w:name w:val="常规"/>
          <w:gallery w:val="placeholder"/>
        </w:category>
        <w:types>
          <w:type w:val="bbPlcHdr"/>
        </w:types>
        <w:behaviors>
          <w:behavior w:val="content"/>
        </w:behaviors>
        <w:description w:val=""/>
        <w:guid w:val="{59e6a312-1e79-48ee-97d2-3aea9e7220db}"/>
      </w:docPartPr>
      <w:docPartBody>
        <w:p w14:paraId="50BACCFD">
          <w:r>
            <w:rPr>
              <w:color w:val="808080"/>
            </w:rPr>
            <w:t>单击此处输入文字。</w:t>
          </w:r>
        </w:p>
      </w:docPartBody>
    </w:docPart>
    <w:docPart>
      <w:docPartPr>
        <w:name w:val="{66c20564-e36c-4157-a56c-e34fae547ff1}"/>
        <w:style w:val=""/>
        <w:category>
          <w:name w:val="常规"/>
          <w:gallery w:val="placeholder"/>
        </w:category>
        <w:types>
          <w:type w:val="bbPlcHdr"/>
        </w:types>
        <w:behaviors>
          <w:behavior w:val="content"/>
        </w:behaviors>
        <w:description w:val=""/>
        <w:guid w:val="{66c20564-e36c-4157-a56c-e34fae547ff1}"/>
      </w:docPartPr>
      <w:docPartBody>
        <w:p w14:paraId="1E9CBC74">
          <w:r>
            <w:rPr>
              <w:color w:val="808080"/>
            </w:rPr>
            <w:t>单击此处输入文字。</w:t>
          </w:r>
        </w:p>
      </w:docPartBody>
    </w:docPart>
    <w:docPart>
      <w:docPartPr>
        <w:name w:val="{71ae224c-6baa-4182-a8c8-91085e96a284}"/>
        <w:style w:val=""/>
        <w:category>
          <w:name w:val="常规"/>
          <w:gallery w:val="placeholder"/>
        </w:category>
        <w:types>
          <w:type w:val="bbPlcHdr"/>
        </w:types>
        <w:behaviors>
          <w:behavior w:val="content"/>
        </w:behaviors>
        <w:description w:val=""/>
        <w:guid w:val="{71ae224c-6baa-4182-a8c8-91085e96a284}"/>
      </w:docPartPr>
      <w:docPartBody>
        <w:p w14:paraId="5583663E">
          <w:r>
            <w:rPr>
              <w:color w:val="808080"/>
            </w:rPr>
            <w:t>单击此处输入文字。</w:t>
          </w:r>
        </w:p>
      </w:docPartBody>
    </w:docPart>
    <w:docPart>
      <w:docPartPr>
        <w:name w:val="{8395a31e-0b27-4fd2-a1dc-f60967afec1f}"/>
        <w:style w:val=""/>
        <w:category>
          <w:name w:val="常规"/>
          <w:gallery w:val="placeholder"/>
        </w:category>
        <w:types>
          <w:type w:val="bbPlcHdr"/>
        </w:types>
        <w:behaviors>
          <w:behavior w:val="content"/>
        </w:behaviors>
        <w:description w:val=""/>
        <w:guid w:val="{8395a31e-0b27-4fd2-a1dc-f60967afec1f}"/>
      </w:docPartPr>
      <w:docPartBody>
        <w:p w14:paraId="30526AFE">
          <w:r>
            <w:rPr>
              <w:color w:val="808080"/>
            </w:rPr>
            <w:t>单击此处输入文字。</w:t>
          </w:r>
        </w:p>
      </w:docPartBody>
    </w:docPart>
    <w:docPart>
      <w:docPartPr>
        <w:name w:val="{29e1d2a7-7a9b-4e57-a770-55613d3dcac8}"/>
        <w:style w:val=""/>
        <w:category>
          <w:name w:val="常规"/>
          <w:gallery w:val="placeholder"/>
        </w:category>
        <w:types>
          <w:type w:val="bbPlcHdr"/>
        </w:types>
        <w:behaviors>
          <w:behavior w:val="content"/>
        </w:behaviors>
        <w:description w:val=""/>
        <w:guid w:val="{29e1d2a7-7a9b-4e57-a770-55613d3dcac8}"/>
      </w:docPartPr>
      <w:docPartBody>
        <w:p w14:paraId="2B25F1D1">
          <w:r>
            <w:rPr>
              <w:color w:val="808080"/>
            </w:rPr>
            <w:t>单击此处输入文字。</w:t>
          </w:r>
        </w:p>
      </w:docPartBody>
    </w:docPart>
    <w:docPart>
      <w:docPartPr>
        <w:name w:val="{07029dca-263c-43bb-a807-38db0f01571e}"/>
        <w:style w:val=""/>
        <w:category>
          <w:name w:val="常规"/>
          <w:gallery w:val="placeholder"/>
        </w:category>
        <w:types>
          <w:type w:val="bbPlcHdr"/>
        </w:types>
        <w:behaviors>
          <w:behavior w:val="content"/>
        </w:behaviors>
        <w:description w:val=""/>
        <w:guid w:val="{07029dca-263c-43bb-a807-38db0f01571e}"/>
      </w:docPartPr>
      <w:docPartBody>
        <w:p w14:paraId="72A4EE12">
          <w:r>
            <w:rPr>
              <w:color w:val="808080"/>
            </w:rPr>
            <w:t>单击此处输入文字。</w:t>
          </w:r>
        </w:p>
      </w:docPartBody>
    </w:docPart>
    <w:docPart>
      <w:docPartPr>
        <w:name w:val="{a07d3f3d-9d8b-49bf-becb-7f791aba61e2}"/>
        <w:style w:val=""/>
        <w:category>
          <w:name w:val="常规"/>
          <w:gallery w:val="placeholder"/>
        </w:category>
        <w:types>
          <w:type w:val="bbPlcHdr"/>
        </w:types>
        <w:behaviors>
          <w:behavior w:val="content"/>
        </w:behaviors>
        <w:description w:val=""/>
        <w:guid w:val="{a07d3f3d-9d8b-49bf-becb-7f791aba61e2}"/>
      </w:docPartPr>
      <w:docPartBody>
        <w:p w14:paraId="68B74E51">
          <w:r>
            <w:rPr>
              <w:color w:val="808080"/>
            </w:rPr>
            <w:t>单击此处输入文字。</w:t>
          </w:r>
        </w:p>
      </w:docPartBody>
    </w:docPart>
    <w:docPart>
      <w:docPartPr>
        <w:name w:val="{d207013f-d567-4296-bace-5ccfd446d8df}"/>
        <w:style w:val=""/>
        <w:category>
          <w:name w:val="常规"/>
          <w:gallery w:val="placeholder"/>
        </w:category>
        <w:types>
          <w:type w:val="bbPlcHdr"/>
        </w:types>
        <w:behaviors>
          <w:behavior w:val="content"/>
        </w:behaviors>
        <w:description w:val=""/>
        <w:guid w:val="{d207013f-d567-4296-bace-5ccfd446d8df}"/>
      </w:docPartPr>
      <w:docPartBody>
        <w:p w14:paraId="4AFDA775">
          <w:r>
            <w:rPr>
              <w:color w:val="808080"/>
            </w:rPr>
            <w:t>单击此处输入文字。</w:t>
          </w:r>
        </w:p>
      </w:docPartBody>
    </w:docPart>
    <w:docPart>
      <w:docPartPr>
        <w:name w:val="{1cf31f4b-0e5b-42ba-8884-a5b032252239}"/>
        <w:style w:val=""/>
        <w:category>
          <w:name w:val="常规"/>
          <w:gallery w:val="placeholder"/>
        </w:category>
        <w:types>
          <w:type w:val="bbPlcHdr"/>
        </w:types>
        <w:behaviors>
          <w:behavior w:val="content"/>
        </w:behaviors>
        <w:description w:val=""/>
        <w:guid w:val="{1cf31f4b-0e5b-42ba-8884-a5b032252239}"/>
      </w:docPartPr>
      <w:docPartBody>
        <w:p w14:paraId="6FD4172F">
          <w:r>
            <w:rPr>
              <w:color w:val="808080"/>
            </w:rPr>
            <w:t>单击此处输入文字。</w:t>
          </w:r>
        </w:p>
      </w:docPartBody>
    </w:docPart>
    <w:docPart>
      <w:docPartPr>
        <w:name w:val="{4632aacf-d699-47a5-ae9c-5d6a602a5110}"/>
        <w:style w:val=""/>
        <w:category>
          <w:name w:val="常规"/>
          <w:gallery w:val="placeholder"/>
        </w:category>
        <w:types>
          <w:type w:val="bbPlcHdr"/>
        </w:types>
        <w:behaviors>
          <w:behavior w:val="content"/>
        </w:behaviors>
        <w:description w:val=""/>
        <w:guid w:val="{4632aacf-d699-47a5-ae9c-5d6a602a5110}"/>
      </w:docPartPr>
      <w:docPartBody>
        <w:p w14:paraId="0DEABCC3">
          <w:r>
            <w:rPr>
              <w:color w:val="808080"/>
            </w:rPr>
            <w:t>单击此处输入文字。</w:t>
          </w:r>
        </w:p>
      </w:docPartBody>
    </w:docPart>
    <w:docPart>
      <w:docPartPr>
        <w:name w:val="{48274115-475b-4a9b-a513-847d48a5d5f1}"/>
        <w:style w:val=""/>
        <w:category>
          <w:name w:val="常规"/>
          <w:gallery w:val="placeholder"/>
        </w:category>
        <w:types>
          <w:type w:val="bbPlcHdr"/>
        </w:types>
        <w:behaviors>
          <w:behavior w:val="content"/>
        </w:behaviors>
        <w:description w:val=""/>
        <w:guid w:val="{48274115-475b-4a9b-a513-847d48a5d5f1}"/>
      </w:docPartPr>
      <w:docPartBody>
        <w:p w14:paraId="041FA242">
          <w:r>
            <w:rPr>
              <w:color w:val="808080"/>
            </w:rPr>
            <w:t>单击此处输入文字。</w:t>
          </w:r>
        </w:p>
      </w:docPartBody>
    </w:docPart>
    <w:docPart>
      <w:docPartPr>
        <w:name w:val="{44cc353a-efec-4e1e-9a33-814485111340}"/>
        <w:style w:val=""/>
        <w:category>
          <w:name w:val="常规"/>
          <w:gallery w:val="placeholder"/>
        </w:category>
        <w:types>
          <w:type w:val="bbPlcHdr"/>
        </w:types>
        <w:behaviors>
          <w:behavior w:val="content"/>
        </w:behaviors>
        <w:description w:val=""/>
        <w:guid w:val="{44cc353a-efec-4e1e-9a33-814485111340}"/>
      </w:docPartPr>
      <w:docPartBody>
        <w:p w14:paraId="1ABD2F37">
          <w:r>
            <w:rPr>
              <w:color w:val="808080"/>
            </w:rPr>
            <w:t>单击此处输入文字。</w:t>
          </w:r>
        </w:p>
      </w:docPartBody>
    </w:docPart>
    <w:docPart>
      <w:docPartPr>
        <w:name w:val="{4fb1114c-eb69-43cc-b9c1-a76854906251}"/>
        <w:style w:val=""/>
        <w:category>
          <w:name w:val="常规"/>
          <w:gallery w:val="placeholder"/>
        </w:category>
        <w:types>
          <w:type w:val="bbPlcHdr"/>
        </w:types>
        <w:behaviors>
          <w:behavior w:val="content"/>
        </w:behaviors>
        <w:description w:val=""/>
        <w:guid w:val="{4fb1114c-eb69-43cc-b9c1-a76854906251}"/>
      </w:docPartPr>
      <w:docPartBody>
        <w:p w14:paraId="0DC961A8">
          <w:r>
            <w:rPr>
              <w:color w:val="808080"/>
            </w:rPr>
            <w:t>单击此处输入文字。</w:t>
          </w:r>
        </w:p>
      </w:docPartBody>
    </w:docPart>
    <w:docPart>
      <w:docPartPr>
        <w:name w:val="{07cff8e2-8a49-4cb9-bb14-6c1ad75b5bbf}"/>
        <w:style w:val=""/>
        <w:category>
          <w:name w:val="常规"/>
          <w:gallery w:val="placeholder"/>
        </w:category>
        <w:types>
          <w:type w:val="bbPlcHdr"/>
        </w:types>
        <w:behaviors>
          <w:behavior w:val="content"/>
        </w:behaviors>
        <w:description w:val=""/>
        <w:guid w:val="{07cff8e2-8a49-4cb9-bb14-6c1ad75b5bbf}"/>
      </w:docPartPr>
      <w:docPartBody>
        <w:p w14:paraId="31CFF818">
          <w:r>
            <w:rPr>
              <w:color w:val="808080"/>
            </w:rPr>
            <w:t>单击此处输入文字。</w:t>
          </w:r>
        </w:p>
      </w:docPartBody>
    </w:docPart>
    <w:docPart>
      <w:docPartPr>
        <w:name w:val="{e7a5bd85-64f0-476a-865b-d22892985701}"/>
        <w:style w:val=""/>
        <w:category>
          <w:name w:val="常规"/>
          <w:gallery w:val="placeholder"/>
        </w:category>
        <w:types>
          <w:type w:val="bbPlcHdr"/>
        </w:types>
        <w:behaviors>
          <w:behavior w:val="content"/>
        </w:behaviors>
        <w:description w:val=""/>
        <w:guid w:val="{e7a5bd85-64f0-476a-865b-d22892985701}"/>
      </w:docPartPr>
      <w:docPartBody>
        <w:p w14:paraId="7193EE51">
          <w:r>
            <w:rPr>
              <w:color w:val="808080"/>
            </w:rPr>
            <w:t>单击此处输入文字。</w:t>
          </w:r>
        </w:p>
      </w:docPartBody>
    </w:docPart>
    <w:docPart>
      <w:docPartPr>
        <w:name w:val="{5948db65-2039-4293-9143-4ce55a9d82c8}"/>
        <w:style w:val=""/>
        <w:category>
          <w:name w:val="常规"/>
          <w:gallery w:val="placeholder"/>
        </w:category>
        <w:types>
          <w:type w:val="bbPlcHdr"/>
        </w:types>
        <w:behaviors>
          <w:behavior w:val="content"/>
        </w:behaviors>
        <w:description w:val=""/>
        <w:guid w:val="{5948db65-2039-4293-9143-4ce55a9d82c8}"/>
      </w:docPartPr>
      <w:docPartBody>
        <w:p w14:paraId="2B874B41">
          <w:r>
            <w:rPr>
              <w:color w:val="808080"/>
            </w:rPr>
            <w:t>单击此处输入文字。</w:t>
          </w:r>
        </w:p>
      </w:docPartBody>
    </w:docPart>
    <w:docPart>
      <w:docPartPr>
        <w:name w:val="{091b5590-c08b-4cbc-9ad5-dc9c68f26528}"/>
        <w:style w:val=""/>
        <w:category>
          <w:name w:val="常规"/>
          <w:gallery w:val="placeholder"/>
        </w:category>
        <w:types>
          <w:type w:val="bbPlcHdr"/>
        </w:types>
        <w:behaviors>
          <w:behavior w:val="content"/>
        </w:behaviors>
        <w:description w:val=""/>
        <w:guid w:val="{091b5590-c08b-4cbc-9ad5-dc9c68f26528}"/>
      </w:docPartPr>
      <w:docPartBody>
        <w:p w14:paraId="7165D628">
          <w:r>
            <w:rPr>
              <w:color w:val="808080"/>
            </w:rPr>
            <w:t>单击此处输入文字。</w:t>
          </w:r>
        </w:p>
      </w:docPartBody>
    </w:docPart>
    <w:docPart>
      <w:docPartPr>
        <w:name w:val="{b0529363-bc48-45cc-92a5-570d605c5999}"/>
        <w:style w:val=""/>
        <w:category>
          <w:name w:val="常规"/>
          <w:gallery w:val="placeholder"/>
        </w:category>
        <w:types>
          <w:type w:val="bbPlcHdr"/>
        </w:types>
        <w:behaviors>
          <w:behavior w:val="content"/>
        </w:behaviors>
        <w:description w:val=""/>
        <w:guid w:val="{b0529363-bc48-45cc-92a5-570d605c5999}"/>
      </w:docPartPr>
      <w:docPartBody>
        <w:p w14:paraId="75D738A5">
          <w:r>
            <w:rPr>
              <w:color w:val="808080"/>
            </w:rPr>
            <w:t>单击此处输入文字。</w:t>
          </w:r>
        </w:p>
      </w:docPartBody>
    </w:docPart>
    <w:docPart>
      <w:docPartPr>
        <w:name w:val="{a564c982-f952-4173-9169-4d51c1eb55d8}"/>
        <w:style w:val=""/>
        <w:category>
          <w:name w:val="常规"/>
          <w:gallery w:val="placeholder"/>
        </w:category>
        <w:types>
          <w:type w:val="bbPlcHdr"/>
        </w:types>
        <w:behaviors>
          <w:behavior w:val="content"/>
        </w:behaviors>
        <w:description w:val=""/>
        <w:guid w:val="{a564c982-f952-4173-9169-4d51c1eb55d8}"/>
      </w:docPartPr>
      <w:docPartBody>
        <w:p w14:paraId="2FCCD4CB">
          <w:r>
            <w:rPr>
              <w:color w:val="808080"/>
            </w:rPr>
            <w:t>单击此处输入文字。</w:t>
          </w:r>
        </w:p>
      </w:docPartBody>
    </w:docPart>
    <w:docPart>
      <w:docPartPr>
        <w:name w:val="{7c14c86a-89a6-42af-97e1-b0b07ab31da5}"/>
        <w:style w:val=""/>
        <w:category>
          <w:name w:val="常规"/>
          <w:gallery w:val="placeholder"/>
        </w:category>
        <w:types>
          <w:type w:val="bbPlcHdr"/>
        </w:types>
        <w:behaviors>
          <w:behavior w:val="content"/>
        </w:behaviors>
        <w:description w:val=""/>
        <w:guid w:val="{7c14c86a-89a6-42af-97e1-b0b07ab31da5}"/>
      </w:docPartPr>
      <w:docPartBody>
        <w:p w14:paraId="4ACC5665">
          <w:r>
            <w:rPr>
              <w:color w:val="808080"/>
            </w:rPr>
            <w:t>单击此处输入文字。</w:t>
          </w:r>
        </w:p>
      </w:docPartBody>
    </w:docPart>
    <w:docPart>
      <w:docPartPr>
        <w:name w:val="{eb505473-b008-4bba-8590-23f8e0fffc6e}"/>
        <w:style w:val=""/>
        <w:category>
          <w:name w:val="常规"/>
          <w:gallery w:val="placeholder"/>
        </w:category>
        <w:types>
          <w:type w:val="bbPlcHdr"/>
        </w:types>
        <w:behaviors>
          <w:behavior w:val="content"/>
        </w:behaviors>
        <w:description w:val=""/>
        <w:guid w:val="{eb505473-b008-4bba-8590-23f8e0fffc6e}"/>
      </w:docPartPr>
      <w:docPartBody>
        <w:p w14:paraId="3D5CDB38">
          <w:r>
            <w:rPr>
              <w:color w:val="808080"/>
            </w:rPr>
            <w:t>单击此处输入文字。</w:t>
          </w:r>
        </w:p>
      </w:docPartBody>
    </w:docPart>
    <w:docPart>
      <w:docPartPr>
        <w:name w:val="{5289ec6c-b419-4ef8-9ef0-c2c1ec81f907}"/>
        <w:style w:val=""/>
        <w:category>
          <w:name w:val="常规"/>
          <w:gallery w:val="placeholder"/>
        </w:category>
        <w:types>
          <w:type w:val="bbPlcHdr"/>
        </w:types>
        <w:behaviors>
          <w:behavior w:val="content"/>
        </w:behaviors>
        <w:description w:val=""/>
        <w:guid w:val="{5289ec6c-b419-4ef8-9ef0-c2c1ec81f907}"/>
      </w:docPartPr>
      <w:docPartBody>
        <w:p w14:paraId="2BC8A5F7">
          <w:r>
            <w:rPr>
              <w:color w:val="808080"/>
            </w:rPr>
            <w:t>单击此处输入文字。</w:t>
          </w:r>
        </w:p>
      </w:docPartBody>
    </w:docPart>
    <w:docPart>
      <w:docPartPr>
        <w:name w:val="{9b7fb261-464a-438f-a597-e209dfe9db48}"/>
        <w:style w:val=""/>
        <w:category>
          <w:name w:val="常规"/>
          <w:gallery w:val="placeholder"/>
        </w:category>
        <w:types>
          <w:type w:val="bbPlcHdr"/>
        </w:types>
        <w:behaviors>
          <w:behavior w:val="content"/>
        </w:behaviors>
        <w:description w:val=""/>
        <w:guid w:val="{9b7fb261-464a-438f-a597-e209dfe9db48}"/>
      </w:docPartPr>
      <w:docPartBody>
        <w:p w14:paraId="493E9E5A">
          <w:r>
            <w:rPr>
              <w:color w:val="808080"/>
            </w:rPr>
            <w:t>单击此处输入文字。</w:t>
          </w:r>
        </w:p>
      </w:docPartBody>
    </w:docPart>
    <w:docPart>
      <w:docPartPr>
        <w:name w:val="{e6fac67c-2b0d-4cd9-8d93-ef4e6e7bca34}"/>
        <w:style w:val=""/>
        <w:category>
          <w:name w:val="常规"/>
          <w:gallery w:val="placeholder"/>
        </w:category>
        <w:types>
          <w:type w:val="bbPlcHdr"/>
        </w:types>
        <w:behaviors>
          <w:behavior w:val="content"/>
        </w:behaviors>
        <w:description w:val=""/>
        <w:guid w:val="{e6fac67c-2b0d-4cd9-8d93-ef4e6e7bca34}"/>
      </w:docPartPr>
      <w:docPartBody>
        <w:p w14:paraId="3D60AB8A">
          <w:r>
            <w:rPr>
              <w:color w:val="808080"/>
            </w:rPr>
            <w:t>单击此处输入文字。</w:t>
          </w:r>
        </w:p>
      </w:docPartBody>
    </w:docPart>
    <w:docPart>
      <w:docPartPr>
        <w:name w:val="{2cd88010-854c-4c91-8add-68572c7f713e}"/>
        <w:style w:val=""/>
        <w:category>
          <w:name w:val="常规"/>
          <w:gallery w:val="placeholder"/>
        </w:category>
        <w:types>
          <w:type w:val="bbPlcHdr"/>
        </w:types>
        <w:behaviors>
          <w:behavior w:val="content"/>
        </w:behaviors>
        <w:description w:val=""/>
        <w:guid w:val="{2cd88010-854c-4c91-8add-68572c7f713e}"/>
      </w:docPartPr>
      <w:docPartBody>
        <w:p w14:paraId="2DCCCE52">
          <w:r>
            <w:rPr>
              <w:color w:val="808080"/>
            </w:rPr>
            <w:t>单击此处输入文字。</w:t>
          </w:r>
        </w:p>
      </w:docPartBody>
    </w:docPart>
    <w:docPart>
      <w:docPartPr>
        <w:name w:val="{7ed96c5c-5699-4c2c-98f5-2eaabde65a4e}"/>
        <w:style w:val=""/>
        <w:category>
          <w:name w:val="常规"/>
          <w:gallery w:val="placeholder"/>
        </w:category>
        <w:types>
          <w:type w:val="bbPlcHdr"/>
        </w:types>
        <w:behaviors>
          <w:behavior w:val="content"/>
        </w:behaviors>
        <w:description w:val=""/>
        <w:guid w:val="{7ed96c5c-5699-4c2c-98f5-2eaabde65a4e}"/>
      </w:docPartPr>
      <w:docPartBody>
        <w:p w14:paraId="03B25979">
          <w:r>
            <w:rPr>
              <w:color w:val="808080"/>
            </w:rPr>
            <w:t>单击此处输入文字。</w:t>
          </w:r>
        </w:p>
      </w:docPartBody>
    </w:docPart>
    <w:docPart>
      <w:docPartPr>
        <w:name w:val="{8f69551f-a72f-43d3-ba5f-a2060cf739bd}"/>
        <w:style w:val=""/>
        <w:category>
          <w:name w:val="常规"/>
          <w:gallery w:val="placeholder"/>
        </w:category>
        <w:types>
          <w:type w:val="bbPlcHdr"/>
        </w:types>
        <w:behaviors>
          <w:behavior w:val="content"/>
        </w:behaviors>
        <w:description w:val=""/>
        <w:guid w:val="{8f69551f-a72f-43d3-ba5f-a2060cf739bd}"/>
      </w:docPartPr>
      <w:docPartBody>
        <w:p w14:paraId="4206D7D5">
          <w:r>
            <w:rPr>
              <w:color w:val="808080"/>
            </w:rPr>
            <w:t>单击此处输入文字。</w:t>
          </w:r>
        </w:p>
      </w:docPartBody>
    </w:docPart>
    <w:docPart>
      <w:docPartPr>
        <w:name w:val="{68bedd67-6855-4b91-a11b-a02ba681d23b}"/>
        <w:style w:val=""/>
        <w:category>
          <w:name w:val="常规"/>
          <w:gallery w:val="placeholder"/>
        </w:category>
        <w:types>
          <w:type w:val="bbPlcHdr"/>
        </w:types>
        <w:behaviors>
          <w:behavior w:val="content"/>
        </w:behaviors>
        <w:description w:val=""/>
        <w:guid w:val="{68bedd67-6855-4b91-a11b-a02ba681d23b}"/>
      </w:docPartPr>
      <w:docPartBody>
        <w:p w14:paraId="79CD8323">
          <w:r>
            <w:rPr>
              <w:color w:val="808080"/>
            </w:rPr>
            <w:t>单击此处输入文字。</w:t>
          </w:r>
        </w:p>
      </w:docPartBody>
    </w:docPart>
    <w:docPart>
      <w:docPartPr>
        <w:name w:val="{0cfb7b4b-60f9-44b1-8d21-f3e57d7a79da}"/>
        <w:style w:val=""/>
        <w:category>
          <w:name w:val="常规"/>
          <w:gallery w:val="placeholder"/>
        </w:category>
        <w:types>
          <w:type w:val="bbPlcHdr"/>
        </w:types>
        <w:behaviors>
          <w:behavior w:val="content"/>
        </w:behaviors>
        <w:description w:val=""/>
        <w:guid w:val="{0cfb7b4b-60f9-44b1-8d21-f3e57d7a79da}"/>
      </w:docPartPr>
      <w:docPartBody>
        <w:p w14:paraId="6457EFDF">
          <w:r>
            <w:rPr>
              <w:color w:val="808080"/>
            </w:rPr>
            <w:t>单击此处输入文字。</w:t>
          </w:r>
        </w:p>
      </w:docPartBody>
    </w:docPart>
    <w:docPart>
      <w:docPartPr>
        <w:name w:val="{4dad762f-b183-4c33-b62c-6940e4619ca1}"/>
        <w:style w:val=""/>
        <w:category>
          <w:name w:val="常规"/>
          <w:gallery w:val="placeholder"/>
        </w:category>
        <w:types>
          <w:type w:val="bbPlcHdr"/>
        </w:types>
        <w:behaviors>
          <w:behavior w:val="content"/>
        </w:behaviors>
        <w:description w:val=""/>
        <w:guid w:val="{4dad762f-b183-4c33-b62c-6940e4619ca1}"/>
      </w:docPartPr>
      <w:docPartBody>
        <w:p w14:paraId="7385DED6">
          <w:r>
            <w:rPr>
              <w:color w:val="808080"/>
            </w:rPr>
            <w:t>单击此处输入文字。</w:t>
          </w:r>
        </w:p>
      </w:docPartBody>
    </w:docPart>
    <w:docPart>
      <w:docPartPr>
        <w:name w:val="{4a080719-a8af-4816-8ffe-63756bf7ca9c}"/>
        <w:style w:val=""/>
        <w:category>
          <w:name w:val="常规"/>
          <w:gallery w:val="placeholder"/>
        </w:category>
        <w:types>
          <w:type w:val="bbPlcHdr"/>
        </w:types>
        <w:behaviors>
          <w:behavior w:val="content"/>
        </w:behaviors>
        <w:description w:val=""/>
        <w:guid w:val="{4a080719-a8af-4816-8ffe-63756bf7ca9c}"/>
      </w:docPartPr>
      <w:docPartBody>
        <w:p w14:paraId="0A334D4D">
          <w:r>
            <w:rPr>
              <w:color w:val="808080"/>
            </w:rPr>
            <w:t>单击此处输入文字。</w:t>
          </w:r>
        </w:p>
      </w:docPartBody>
    </w:docPart>
    <w:docPart>
      <w:docPartPr>
        <w:name w:val="{51b97d1d-20e4-4a3b-bdc1-63b18663c932}"/>
        <w:style w:val=""/>
        <w:category>
          <w:name w:val="常规"/>
          <w:gallery w:val="placeholder"/>
        </w:category>
        <w:types>
          <w:type w:val="bbPlcHdr"/>
        </w:types>
        <w:behaviors>
          <w:behavior w:val="content"/>
        </w:behaviors>
        <w:description w:val=""/>
        <w:guid w:val="{51b97d1d-20e4-4a3b-bdc1-63b18663c932}"/>
      </w:docPartPr>
      <w:docPartBody>
        <w:p w14:paraId="3C94F4DF">
          <w:r>
            <w:rPr>
              <w:color w:val="808080"/>
            </w:rPr>
            <w:t>单击此处输入文字。</w:t>
          </w:r>
        </w:p>
      </w:docPartBody>
    </w:docPart>
    <w:docPart>
      <w:docPartPr>
        <w:name w:val="{29d463a8-dc64-49a2-9bdd-a96cef5c4ea7}"/>
        <w:style w:val=""/>
        <w:category>
          <w:name w:val="常规"/>
          <w:gallery w:val="placeholder"/>
        </w:category>
        <w:types>
          <w:type w:val="bbPlcHdr"/>
        </w:types>
        <w:behaviors>
          <w:behavior w:val="content"/>
        </w:behaviors>
        <w:description w:val=""/>
        <w:guid w:val="{29d463a8-dc64-49a2-9bdd-a96cef5c4ea7}"/>
      </w:docPartPr>
      <w:docPartBody>
        <w:p w14:paraId="19411B94">
          <w:r>
            <w:rPr>
              <w:color w:val="808080"/>
            </w:rPr>
            <w:t>单击此处输入文字。</w:t>
          </w:r>
        </w:p>
      </w:docPartBody>
    </w:docPart>
    <w:docPart>
      <w:docPartPr>
        <w:name w:val="{9aff8498-01fe-475f-9362-2b83329f4df7}"/>
        <w:style w:val=""/>
        <w:category>
          <w:name w:val="常规"/>
          <w:gallery w:val="placeholder"/>
        </w:category>
        <w:types>
          <w:type w:val="bbPlcHdr"/>
        </w:types>
        <w:behaviors>
          <w:behavior w:val="content"/>
        </w:behaviors>
        <w:description w:val=""/>
        <w:guid w:val="{9aff8498-01fe-475f-9362-2b83329f4df7}"/>
      </w:docPartPr>
      <w:docPartBody>
        <w:p w14:paraId="588AF071">
          <w:r>
            <w:rPr>
              <w:color w:val="808080"/>
            </w:rPr>
            <w:t>单击此处输入文字。</w:t>
          </w:r>
        </w:p>
      </w:docPartBody>
    </w:docPart>
    <w:docPart>
      <w:docPartPr>
        <w:name w:val="{9771d4ac-1c4d-4f61-b2ff-ab40bc22f344}"/>
        <w:style w:val=""/>
        <w:category>
          <w:name w:val="常规"/>
          <w:gallery w:val="placeholder"/>
        </w:category>
        <w:types>
          <w:type w:val="bbPlcHdr"/>
        </w:types>
        <w:behaviors>
          <w:behavior w:val="content"/>
        </w:behaviors>
        <w:description w:val=""/>
        <w:guid w:val="{9771d4ac-1c4d-4f61-b2ff-ab40bc22f344}"/>
      </w:docPartPr>
      <w:docPartBody>
        <w:p w14:paraId="6B906DBC">
          <w:r>
            <w:rPr>
              <w:color w:val="808080"/>
            </w:rPr>
            <w:t>单击此处输入文字。</w:t>
          </w:r>
        </w:p>
      </w:docPartBody>
    </w:docPart>
    <w:docPart>
      <w:docPartPr>
        <w:name w:val="{7ddddc9f-0fb7-4b0c-9397-74d5022236df}"/>
        <w:style w:val=""/>
        <w:category>
          <w:name w:val="常规"/>
          <w:gallery w:val="placeholder"/>
        </w:category>
        <w:types>
          <w:type w:val="bbPlcHdr"/>
        </w:types>
        <w:behaviors>
          <w:behavior w:val="content"/>
        </w:behaviors>
        <w:description w:val=""/>
        <w:guid w:val="{7ddddc9f-0fb7-4b0c-9397-74d5022236df}"/>
      </w:docPartPr>
      <w:docPartBody>
        <w:p w14:paraId="18B6839B">
          <w:r>
            <w:rPr>
              <w:color w:val="808080"/>
            </w:rPr>
            <w:t>单击此处输入文字。</w:t>
          </w:r>
        </w:p>
      </w:docPartBody>
    </w:docPart>
    <w:docPart>
      <w:docPartPr>
        <w:name w:val="{4b5f3f4c-a44b-4f37-bf1f-32e6f4c4e407}"/>
        <w:style w:val=""/>
        <w:category>
          <w:name w:val="常规"/>
          <w:gallery w:val="placeholder"/>
        </w:category>
        <w:types>
          <w:type w:val="bbPlcHdr"/>
        </w:types>
        <w:behaviors>
          <w:behavior w:val="content"/>
        </w:behaviors>
        <w:description w:val=""/>
        <w:guid w:val="{4b5f3f4c-a44b-4f37-bf1f-32e6f4c4e407}"/>
      </w:docPartPr>
      <w:docPartBody>
        <w:p w14:paraId="124BFEA2">
          <w:r>
            <w:rPr>
              <w:color w:val="808080"/>
            </w:rPr>
            <w:t>单击此处输入文字。</w:t>
          </w:r>
        </w:p>
      </w:docPartBody>
    </w:docPart>
    <w:docPart>
      <w:docPartPr>
        <w:name w:val="{19168d20-7b8d-4368-a4ed-67bb5d8380ae}"/>
        <w:style w:val=""/>
        <w:category>
          <w:name w:val="常规"/>
          <w:gallery w:val="placeholder"/>
        </w:category>
        <w:types>
          <w:type w:val="bbPlcHdr"/>
        </w:types>
        <w:behaviors>
          <w:behavior w:val="content"/>
        </w:behaviors>
        <w:description w:val=""/>
        <w:guid w:val="{19168d20-7b8d-4368-a4ed-67bb5d8380ae}"/>
      </w:docPartPr>
      <w:docPartBody>
        <w:p w14:paraId="433CE488">
          <w:r>
            <w:rPr>
              <w:color w:val="808080"/>
            </w:rPr>
            <w:t>单击此处输入文字。</w:t>
          </w:r>
        </w:p>
      </w:docPartBody>
    </w:docPart>
    <w:docPart>
      <w:docPartPr>
        <w:name w:val="{5213ceef-41de-48e5-89e6-98842eb0bffd}"/>
        <w:style w:val=""/>
        <w:category>
          <w:name w:val="常规"/>
          <w:gallery w:val="placeholder"/>
        </w:category>
        <w:types>
          <w:type w:val="bbPlcHdr"/>
        </w:types>
        <w:behaviors>
          <w:behavior w:val="content"/>
        </w:behaviors>
        <w:description w:val=""/>
        <w:guid w:val="{5213ceef-41de-48e5-89e6-98842eb0bffd}"/>
      </w:docPartPr>
      <w:docPartBody>
        <w:p w14:paraId="2F15FA3B">
          <w:r>
            <w:rPr>
              <w:color w:val="808080"/>
            </w:rPr>
            <w:t>单击此处输入文字。</w:t>
          </w:r>
        </w:p>
      </w:docPartBody>
    </w:docPart>
    <w:docPart>
      <w:docPartPr>
        <w:name w:val="{c4cb4bf4-60b1-49e4-95d3-e92893880b0b}"/>
        <w:style w:val=""/>
        <w:category>
          <w:name w:val="常规"/>
          <w:gallery w:val="placeholder"/>
        </w:category>
        <w:types>
          <w:type w:val="bbPlcHdr"/>
        </w:types>
        <w:behaviors>
          <w:behavior w:val="content"/>
        </w:behaviors>
        <w:description w:val=""/>
        <w:guid w:val="{c4cb4bf4-60b1-49e4-95d3-e92893880b0b}"/>
      </w:docPartPr>
      <w:docPartBody>
        <w:p w14:paraId="6383E40E">
          <w:r>
            <w:rPr>
              <w:color w:val="808080"/>
            </w:rPr>
            <w:t>单击此处输入文字。</w:t>
          </w:r>
        </w:p>
      </w:docPartBody>
    </w:docPart>
    <w:docPart>
      <w:docPartPr>
        <w:name w:val="{3d127eba-300b-43fa-bae2-89fe3bff4be3}"/>
        <w:style w:val=""/>
        <w:category>
          <w:name w:val="常规"/>
          <w:gallery w:val="placeholder"/>
        </w:category>
        <w:types>
          <w:type w:val="bbPlcHdr"/>
        </w:types>
        <w:behaviors>
          <w:behavior w:val="content"/>
        </w:behaviors>
        <w:description w:val=""/>
        <w:guid w:val="{3d127eba-300b-43fa-bae2-89fe3bff4be3}"/>
      </w:docPartPr>
      <w:docPartBody>
        <w:p w14:paraId="6AE6CE53">
          <w:r>
            <w:rPr>
              <w:color w:val="808080"/>
            </w:rPr>
            <w:t>单击此处输入文字。</w:t>
          </w:r>
        </w:p>
      </w:docPartBody>
    </w:docPart>
    <w:docPart>
      <w:docPartPr>
        <w:name w:val="{38fc7176-d7c8-4b12-a551-9300c708865f}"/>
        <w:style w:val=""/>
        <w:category>
          <w:name w:val="常规"/>
          <w:gallery w:val="placeholder"/>
        </w:category>
        <w:types>
          <w:type w:val="bbPlcHdr"/>
        </w:types>
        <w:behaviors>
          <w:behavior w:val="content"/>
        </w:behaviors>
        <w:description w:val=""/>
        <w:guid w:val="{38fc7176-d7c8-4b12-a551-9300c708865f}"/>
      </w:docPartPr>
      <w:docPartBody>
        <w:p w14:paraId="45E5776E">
          <w:r>
            <w:rPr>
              <w:color w:val="808080"/>
            </w:rPr>
            <w:t>单击此处输入文字。</w:t>
          </w:r>
        </w:p>
      </w:docPartBody>
    </w:docPart>
    <w:docPart>
      <w:docPartPr>
        <w:name w:val="{b2563627-c364-447a-8b78-68a464c8c573}"/>
        <w:style w:val=""/>
        <w:category>
          <w:name w:val="常规"/>
          <w:gallery w:val="placeholder"/>
        </w:category>
        <w:types>
          <w:type w:val="bbPlcHdr"/>
        </w:types>
        <w:behaviors>
          <w:behavior w:val="content"/>
        </w:behaviors>
        <w:description w:val=""/>
        <w:guid w:val="{b2563627-c364-447a-8b78-68a464c8c573}"/>
      </w:docPartPr>
      <w:docPartBody>
        <w:p w14:paraId="747A2100">
          <w:r>
            <w:rPr>
              <w:color w:val="808080"/>
            </w:rPr>
            <w:t>单击此处输入文字。</w:t>
          </w:r>
        </w:p>
      </w:docPartBody>
    </w:docPart>
    <w:docPart>
      <w:docPartPr>
        <w:name w:val="{6e1d2c33-b085-4f18-bd33-f02735736713}"/>
        <w:style w:val=""/>
        <w:category>
          <w:name w:val="常规"/>
          <w:gallery w:val="placeholder"/>
        </w:category>
        <w:types>
          <w:type w:val="bbPlcHdr"/>
        </w:types>
        <w:behaviors>
          <w:behavior w:val="content"/>
        </w:behaviors>
        <w:description w:val=""/>
        <w:guid w:val="{6e1d2c33-b085-4f18-bd33-f02735736713}"/>
      </w:docPartPr>
      <w:docPartBody>
        <w:p w14:paraId="1ABB0D52">
          <w:r>
            <w:rPr>
              <w:color w:val="808080"/>
            </w:rPr>
            <w:t>单击此处输入文字。</w:t>
          </w:r>
        </w:p>
      </w:docPartBody>
    </w:docPart>
    <w:docPart>
      <w:docPartPr>
        <w:name w:val="{ada1974a-9981-4b43-8497-33b30f0cf11c}"/>
        <w:style w:val=""/>
        <w:category>
          <w:name w:val="常规"/>
          <w:gallery w:val="placeholder"/>
        </w:category>
        <w:types>
          <w:type w:val="bbPlcHdr"/>
        </w:types>
        <w:behaviors>
          <w:behavior w:val="content"/>
        </w:behaviors>
        <w:description w:val=""/>
        <w:guid w:val="{ada1974a-9981-4b43-8497-33b30f0cf11c}"/>
      </w:docPartPr>
      <w:docPartBody>
        <w:p w14:paraId="5CC08A17">
          <w:r>
            <w:rPr>
              <w:color w:val="808080"/>
            </w:rPr>
            <w:t>单击此处输入文字。</w:t>
          </w:r>
        </w:p>
      </w:docPartBody>
    </w:docPart>
    <w:docPart>
      <w:docPartPr>
        <w:name w:val="{c0c4f0e2-9108-4cf9-bcb4-54cec5d2d913}"/>
        <w:style w:val=""/>
        <w:category>
          <w:name w:val="常规"/>
          <w:gallery w:val="placeholder"/>
        </w:category>
        <w:types>
          <w:type w:val="bbPlcHdr"/>
        </w:types>
        <w:behaviors>
          <w:behavior w:val="content"/>
        </w:behaviors>
        <w:description w:val=""/>
        <w:guid w:val="{c0c4f0e2-9108-4cf9-bcb4-54cec5d2d913}"/>
      </w:docPartPr>
      <w:docPartBody>
        <w:p w14:paraId="6BB57735">
          <w:r>
            <w:rPr>
              <w:color w:val="808080"/>
            </w:rPr>
            <w:t>单击此处输入文字。</w:t>
          </w:r>
        </w:p>
      </w:docPartBody>
    </w:docPart>
    <w:docPart>
      <w:docPartPr>
        <w:name w:val="{7755b8de-e760-46e2-ba65-6b2fe5818576}"/>
        <w:style w:val=""/>
        <w:category>
          <w:name w:val="常规"/>
          <w:gallery w:val="placeholder"/>
        </w:category>
        <w:types>
          <w:type w:val="bbPlcHdr"/>
        </w:types>
        <w:behaviors>
          <w:behavior w:val="content"/>
        </w:behaviors>
        <w:description w:val=""/>
        <w:guid w:val="{7755b8de-e760-46e2-ba65-6b2fe5818576}"/>
      </w:docPartPr>
      <w:docPartBody>
        <w:p w14:paraId="3508791B">
          <w:r>
            <w:rPr>
              <w:color w:val="808080"/>
            </w:rPr>
            <w:t>单击此处输入文字。</w:t>
          </w:r>
        </w:p>
      </w:docPartBody>
    </w:docPart>
    <w:docPart>
      <w:docPartPr>
        <w:name w:val="{e3bf6252-5a86-4d55-9b54-4fecf597164f}"/>
        <w:style w:val=""/>
        <w:category>
          <w:name w:val="常规"/>
          <w:gallery w:val="placeholder"/>
        </w:category>
        <w:types>
          <w:type w:val="bbPlcHdr"/>
        </w:types>
        <w:behaviors>
          <w:behavior w:val="content"/>
        </w:behaviors>
        <w:description w:val=""/>
        <w:guid w:val="{e3bf6252-5a86-4d55-9b54-4fecf597164f}"/>
      </w:docPartPr>
      <w:docPartBody>
        <w:p w14:paraId="7F01F73A">
          <w:r>
            <w:rPr>
              <w:color w:val="808080"/>
            </w:rPr>
            <w:t>单击此处输入文字。</w:t>
          </w:r>
        </w:p>
      </w:docPartBody>
    </w:docPart>
    <w:docPart>
      <w:docPartPr>
        <w:name w:val="{302e009a-b848-48df-9fbd-288b9d744b86}"/>
        <w:style w:val=""/>
        <w:category>
          <w:name w:val="常规"/>
          <w:gallery w:val="placeholder"/>
        </w:category>
        <w:types>
          <w:type w:val="bbPlcHdr"/>
        </w:types>
        <w:behaviors>
          <w:behavior w:val="content"/>
        </w:behaviors>
        <w:description w:val=""/>
        <w:guid w:val="{302e009a-b848-48df-9fbd-288b9d744b86}"/>
      </w:docPartPr>
      <w:docPartBody>
        <w:p w14:paraId="60B88C0C">
          <w:r>
            <w:rPr>
              <w:color w:val="808080"/>
            </w:rPr>
            <w:t>单击此处输入文字。</w:t>
          </w:r>
        </w:p>
      </w:docPartBody>
    </w:docPart>
    <w:docPart>
      <w:docPartPr>
        <w:name w:val="{7cdcdded-c16c-4f8a-9ca7-667837f81190}"/>
        <w:style w:val=""/>
        <w:category>
          <w:name w:val="常规"/>
          <w:gallery w:val="placeholder"/>
        </w:category>
        <w:types>
          <w:type w:val="bbPlcHdr"/>
        </w:types>
        <w:behaviors>
          <w:behavior w:val="content"/>
        </w:behaviors>
        <w:description w:val=""/>
        <w:guid w:val="{7cdcdded-c16c-4f8a-9ca7-667837f81190}"/>
      </w:docPartPr>
      <w:docPartBody>
        <w:p w14:paraId="301A1E67">
          <w:r>
            <w:rPr>
              <w:color w:val="808080"/>
            </w:rPr>
            <w:t>单击此处输入文字。</w:t>
          </w:r>
        </w:p>
      </w:docPartBody>
    </w:docPart>
    <w:docPart>
      <w:docPartPr>
        <w:name w:val="{1223e8db-c744-4744-99cb-19d0cdc09771}"/>
        <w:style w:val=""/>
        <w:category>
          <w:name w:val="常规"/>
          <w:gallery w:val="placeholder"/>
        </w:category>
        <w:types>
          <w:type w:val="bbPlcHdr"/>
        </w:types>
        <w:behaviors>
          <w:behavior w:val="content"/>
        </w:behaviors>
        <w:description w:val=""/>
        <w:guid w:val="{1223e8db-c744-4744-99cb-19d0cdc09771}"/>
      </w:docPartPr>
      <w:docPartBody>
        <w:p w14:paraId="783B0CE1">
          <w:r>
            <w:rPr>
              <w:color w:val="808080"/>
            </w:rPr>
            <w:t>单击此处输入文字。</w:t>
          </w:r>
        </w:p>
      </w:docPartBody>
    </w:docPart>
    <w:docPart>
      <w:docPartPr>
        <w:name w:val="{2bb26b11-8e9f-4155-92ef-8b663d0da791}"/>
        <w:style w:val=""/>
        <w:category>
          <w:name w:val="常规"/>
          <w:gallery w:val="placeholder"/>
        </w:category>
        <w:types>
          <w:type w:val="bbPlcHdr"/>
        </w:types>
        <w:behaviors>
          <w:behavior w:val="content"/>
        </w:behaviors>
        <w:description w:val=""/>
        <w:guid w:val="{2bb26b11-8e9f-4155-92ef-8b663d0da791}"/>
      </w:docPartPr>
      <w:docPartBody>
        <w:p w14:paraId="073B2E0F">
          <w:r>
            <w:rPr>
              <w:color w:val="808080"/>
            </w:rPr>
            <w:t>单击此处输入文字。</w:t>
          </w:r>
        </w:p>
      </w:docPartBody>
    </w:docPart>
    <w:docPart>
      <w:docPartPr>
        <w:name w:val="{80200ccb-9f0b-4d50-9452-4187920a035e}"/>
        <w:style w:val=""/>
        <w:category>
          <w:name w:val="常规"/>
          <w:gallery w:val="placeholder"/>
        </w:category>
        <w:types>
          <w:type w:val="bbPlcHdr"/>
        </w:types>
        <w:behaviors>
          <w:behavior w:val="content"/>
        </w:behaviors>
        <w:description w:val=""/>
        <w:guid w:val="{80200ccb-9f0b-4d50-9452-4187920a035e}"/>
      </w:docPartPr>
      <w:docPartBody>
        <w:p w14:paraId="7211004A">
          <w:r>
            <w:rPr>
              <w:color w:val="808080"/>
            </w:rPr>
            <w:t>单击此处输入文字。</w:t>
          </w:r>
        </w:p>
      </w:docPartBody>
    </w:docPart>
    <w:docPart>
      <w:docPartPr>
        <w:name w:val="{c6b4a1f2-861b-4fbd-932c-e9e414e47782}"/>
        <w:style w:val=""/>
        <w:category>
          <w:name w:val="常规"/>
          <w:gallery w:val="placeholder"/>
        </w:category>
        <w:types>
          <w:type w:val="bbPlcHdr"/>
        </w:types>
        <w:behaviors>
          <w:behavior w:val="content"/>
        </w:behaviors>
        <w:description w:val=""/>
        <w:guid w:val="{c6b4a1f2-861b-4fbd-932c-e9e414e47782}"/>
      </w:docPartPr>
      <w:docPartBody>
        <w:p w14:paraId="1F485402">
          <w:r>
            <w:rPr>
              <w:color w:val="808080"/>
            </w:rPr>
            <w:t>单击此处输入文字。</w:t>
          </w:r>
        </w:p>
      </w:docPartBody>
    </w:docPart>
    <w:docPart>
      <w:docPartPr>
        <w:name w:val="{42a63e2a-bd9e-46b2-8dda-2c60cb571286}"/>
        <w:style w:val=""/>
        <w:category>
          <w:name w:val="常规"/>
          <w:gallery w:val="placeholder"/>
        </w:category>
        <w:types>
          <w:type w:val="bbPlcHdr"/>
        </w:types>
        <w:behaviors>
          <w:behavior w:val="content"/>
        </w:behaviors>
        <w:description w:val=""/>
        <w:guid w:val="{42a63e2a-bd9e-46b2-8dda-2c60cb571286}"/>
      </w:docPartPr>
      <w:docPartBody>
        <w:p w14:paraId="3E8ABADA">
          <w:r>
            <w:rPr>
              <w:color w:val="808080"/>
            </w:rPr>
            <w:t>单击此处输入文字。</w:t>
          </w:r>
        </w:p>
      </w:docPartBody>
    </w:docPart>
    <w:docPart>
      <w:docPartPr>
        <w:name w:val="{95d3f975-28ad-4488-80ea-8fa89abb4955}"/>
        <w:style w:val=""/>
        <w:category>
          <w:name w:val="常规"/>
          <w:gallery w:val="placeholder"/>
        </w:category>
        <w:types>
          <w:type w:val="bbPlcHdr"/>
        </w:types>
        <w:behaviors>
          <w:behavior w:val="content"/>
        </w:behaviors>
        <w:description w:val=""/>
        <w:guid w:val="{95d3f975-28ad-4488-80ea-8fa89abb4955}"/>
      </w:docPartPr>
      <w:docPartBody>
        <w:p w14:paraId="6E93CD11">
          <w:r>
            <w:rPr>
              <w:color w:val="808080"/>
            </w:rPr>
            <w:t>单击此处输入文字。</w:t>
          </w:r>
        </w:p>
      </w:docPartBody>
    </w:docPart>
    <w:docPart>
      <w:docPartPr>
        <w:name w:val="{f142fe37-4790-42b4-8a27-76f2004078cc}"/>
        <w:style w:val=""/>
        <w:category>
          <w:name w:val="常规"/>
          <w:gallery w:val="placeholder"/>
        </w:category>
        <w:types>
          <w:type w:val="bbPlcHdr"/>
        </w:types>
        <w:behaviors>
          <w:behavior w:val="content"/>
        </w:behaviors>
        <w:description w:val=""/>
        <w:guid w:val="{f142fe37-4790-42b4-8a27-76f2004078cc}"/>
      </w:docPartPr>
      <w:docPartBody>
        <w:p w14:paraId="732D00C1">
          <w:r>
            <w:rPr>
              <w:color w:val="808080"/>
            </w:rPr>
            <w:t>单击此处输入文字。</w:t>
          </w:r>
        </w:p>
      </w:docPartBody>
    </w:docPart>
    <w:docPart>
      <w:docPartPr>
        <w:name w:val="{6fce1a6e-d6d4-4197-986a-859d1af46239}"/>
        <w:style w:val=""/>
        <w:category>
          <w:name w:val="常规"/>
          <w:gallery w:val="placeholder"/>
        </w:category>
        <w:types>
          <w:type w:val="bbPlcHdr"/>
        </w:types>
        <w:behaviors>
          <w:behavior w:val="content"/>
        </w:behaviors>
        <w:description w:val=""/>
        <w:guid w:val="{6fce1a6e-d6d4-4197-986a-859d1af46239}"/>
      </w:docPartPr>
      <w:docPartBody>
        <w:p w14:paraId="2F8E2A36">
          <w:r>
            <w:rPr>
              <w:color w:val="808080"/>
            </w:rPr>
            <w:t>单击此处输入文字。</w:t>
          </w:r>
        </w:p>
      </w:docPartBody>
    </w:docPart>
    <w:docPart>
      <w:docPartPr>
        <w:name w:val="{2fb4a94f-8140-4977-985e-a3ba7204146b}"/>
        <w:style w:val=""/>
        <w:category>
          <w:name w:val="常规"/>
          <w:gallery w:val="placeholder"/>
        </w:category>
        <w:types>
          <w:type w:val="bbPlcHdr"/>
        </w:types>
        <w:behaviors>
          <w:behavior w:val="content"/>
        </w:behaviors>
        <w:description w:val=""/>
        <w:guid w:val="{2fb4a94f-8140-4977-985e-a3ba7204146b}"/>
      </w:docPartPr>
      <w:docPartBody>
        <w:p w14:paraId="2BC2B83B">
          <w:r>
            <w:rPr>
              <w:color w:val="808080"/>
            </w:rPr>
            <w:t>单击此处输入文字。</w:t>
          </w:r>
        </w:p>
      </w:docPartBody>
    </w:docPart>
    <w:docPart>
      <w:docPartPr>
        <w:name w:val="{981db4dd-9892-42f1-8d24-e136cf578e78}"/>
        <w:style w:val=""/>
        <w:category>
          <w:name w:val="常规"/>
          <w:gallery w:val="placeholder"/>
        </w:category>
        <w:types>
          <w:type w:val="bbPlcHdr"/>
        </w:types>
        <w:behaviors>
          <w:behavior w:val="content"/>
        </w:behaviors>
        <w:description w:val=""/>
        <w:guid w:val="{981db4dd-9892-42f1-8d24-e136cf578e78}"/>
      </w:docPartPr>
      <w:docPartBody>
        <w:p w14:paraId="08038F94">
          <w:r>
            <w:rPr>
              <w:color w:val="808080"/>
            </w:rPr>
            <w:t>单击此处输入文字。</w:t>
          </w:r>
        </w:p>
      </w:docPartBody>
    </w:docPart>
    <w:docPart>
      <w:docPartPr>
        <w:name w:val="{9e0d915e-fddf-4b93-a1cb-16578e613546}"/>
        <w:style w:val=""/>
        <w:category>
          <w:name w:val="常规"/>
          <w:gallery w:val="placeholder"/>
        </w:category>
        <w:types>
          <w:type w:val="bbPlcHdr"/>
        </w:types>
        <w:behaviors>
          <w:behavior w:val="content"/>
        </w:behaviors>
        <w:description w:val=""/>
        <w:guid w:val="{9e0d915e-fddf-4b93-a1cb-16578e613546}"/>
      </w:docPartPr>
      <w:docPartBody>
        <w:p w14:paraId="426A43F2">
          <w:r>
            <w:rPr>
              <w:color w:val="808080"/>
            </w:rPr>
            <w:t>单击此处输入文字。</w:t>
          </w:r>
        </w:p>
      </w:docPartBody>
    </w:docPart>
    <w:docPart>
      <w:docPartPr>
        <w:name w:val="{1b7c8bca-4de6-4d85-8ca4-dceb9fbc773f}"/>
        <w:style w:val=""/>
        <w:category>
          <w:name w:val="常规"/>
          <w:gallery w:val="placeholder"/>
        </w:category>
        <w:types>
          <w:type w:val="bbPlcHdr"/>
        </w:types>
        <w:behaviors>
          <w:behavior w:val="content"/>
        </w:behaviors>
        <w:description w:val=""/>
        <w:guid w:val="{1b7c8bca-4de6-4d85-8ca4-dceb9fbc773f}"/>
      </w:docPartPr>
      <w:docPartBody>
        <w:p w14:paraId="4D202EB1">
          <w:r>
            <w:rPr>
              <w:color w:val="808080"/>
            </w:rPr>
            <w:t>单击此处输入文字。</w:t>
          </w:r>
        </w:p>
      </w:docPartBody>
    </w:docPart>
    <w:docPart>
      <w:docPartPr>
        <w:name w:val="{ec960dbd-1a2e-4c5e-a3a5-702ffc756d4c}"/>
        <w:style w:val=""/>
        <w:category>
          <w:name w:val="常规"/>
          <w:gallery w:val="placeholder"/>
        </w:category>
        <w:types>
          <w:type w:val="bbPlcHdr"/>
        </w:types>
        <w:behaviors>
          <w:behavior w:val="content"/>
        </w:behaviors>
        <w:description w:val=""/>
        <w:guid w:val="{ec960dbd-1a2e-4c5e-a3a5-702ffc756d4c}"/>
      </w:docPartPr>
      <w:docPartBody>
        <w:p w14:paraId="1B3484CB">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67</Pages>
  <Words>0</Words>
  <Characters>0</Characters>
  <Lines>0</Lines>
  <Paragraphs>0</Paragraphs>
  <TotalTime>2</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2024-08-22T07:07:25Z</dcterms:created>
  <dc:creator>user</dc:creator>
  <cp:lastModifiedBy>Richael</cp:lastModifiedBy>
  <dcterms:modified xsi:type="dcterms:W3CDTF">2024-08-22T07:20:58Z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D80588CB227E4222BEDA585B82E9000E_12</vt:lpwstr>
  </property>
</Properties>
</file>